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9C" w:rsidRDefault="00AB430A" w:rsidP="00597D9C">
      <w:bookmarkStart w:id="0" w:name="_GoBack"/>
      <w:bookmarkEnd w:id="0"/>
      <w:r>
        <w:tab/>
      </w:r>
      <w:r>
        <w:tab/>
      </w:r>
      <w:r>
        <w:tab/>
      </w:r>
      <w:r>
        <w:tab/>
      </w:r>
      <w:r>
        <w:tab/>
      </w:r>
      <w:r>
        <w:tab/>
      </w:r>
      <w:r>
        <w:tab/>
      </w:r>
      <w:r>
        <w:tab/>
      </w:r>
      <w:r>
        <w:tab/>
      </w:r>
      <w:r>
        <w:tab/>
      </w:r>
      <w:r>
        <w:tab/>
      </w:r>
    </w:p>
    <w:p w:rsidR="00E06058" w:rsidRDefault="00514D7D" w:rsidP="00EE7FD3">
      <w:pPr>
        <w:jc w:val="center"/>
        <w:rPr>
          <w:rFonts w:ascii="Arial"/>
          <w:b/>
          <w:color w:val="111111"/>
          <w:w w:val="105"/>
          <w:sz w:val="21"/>
        </w:rPr>
      </w:pPr>
      <w:r w:rsidRPr="00001183">
        <w:rPr>
          <w:rFonts w:ascii="Arial"/>
          <w:b/>
          <w:w w:val="105"/>
          <w:sz w:val="21"/>
        </w:rPr>
        <w:t xml:space="preserve">APPENDIX </w:t>
      </w:r>
      <w:r w:rsidR="00F36020" w:rsidRPr="00EE4198">
        <w:rPr>
          <w:rFonts w:ascii="Arial"/>
          <w:b/>
          <w:w w:val="105"/>
          <w:sz w:val="21"/>
        </w:rPr>
        <w:t>H</w:t>
      </w:r>
      <w:r w:rsidR="00F5444F" w:rsidRPr="00001183">
        <w:rPr>
          <w:rFonts w:ascii="Arial"/>
          <w:b/>
          <w:w w:val="105"/>
          <w:sz w:val="21"/>
        </w:rPr>
        <w:t xml:space="preserve"> </w:t>
      </w:r>
      <w:r w:rsidR="00F5444F" w:rsidRPr="000D617A">
        <w:rPr>
          <w:rFonts w:ascii="Arial"/>
          <w:b/>
          <w:color w:val="111111"/>
          <w:w w:val="105"/>
          <w:sz w:val="21"/>
        </w:rPr>
        <w:t>–</w:t>
      </w:r>
      <w:r w:rsidR="00F5444F" w:rsidRPr="000D617A">
        <w:rPr>
          <w:rFonts w:ascii="Arial"/>
          <w:b/>
          <w:color w:val="111111"/>
          <w:w w:val="105"/>
          <w:sz w:val="21"/>
        </w:rPr>
        <w:t xml:space="preserve"> </w:t>
      </w:r>
      <w:r w:rsidR="00E06058">
        <w:rPr>
          <w:rFonts w:ascii="Arial"/>
          <w:b/>
          <w:color w:val="111111"/>
          <w:w w:val="105"/>
          <w:sz w:val="21"/>
        </w:rPr>
        <w:t xml:space="preserve">Provisions </w:t>
      </w:r>
      <w:r w:rsidR="00E06058" w:rsidRPr="00736ED3">
        <w:rPr>
          <w:rFonts w:ascii="Arial"/>
          <w:b/>
          <w:w w:val="105"/>
          <w:sz w:val="21"/>
        </w:rPr>
        <w:t xml:space="preserve">for </w:t>
      </w:r>
      <w:r w:rsidR="00AB430A" w:rsidRPr="00736ED3">
        <w:rPr>
          <w:rFonts w:ascii="Arial"/>
          <w:b/>
          <w:w w:val="105"/>
          <w:sz w:val="21"/>
        </w:rPr>
        <w:t xml:space="preserve">Incorporation of </w:t>
      </w:r>
      <w:r w:rsidR="00A6290F" w:rsidRPr="00736ED3">
        <w:rPr>
          <w:rFonts w:ascii="Arial"/>
          <w:b/>
          <w:w w:val="105"/>
          <w:sz w:val="21"/>
        </w:rPr>
        <w:t xml:space="preserve">Industrial Hygiene </w:t>
      </w:r>
      <w:r w:rsidR="00AB430A" w:rsidRPr="00736ED3">
        <w:rPr>
          <w:rFonts w:ascii="Arial"/>
          <w:b/>
          <w:w w:val="105"/>
          <w:sz w:val="21"/>
        </w:rPr>
        <w:t>Job Family Classifications</w:t>
      </w:r>
      <w:r w:rsidR="00E06058" w:rsidRPr="00736ED3">
        <w:rPr>
          <w:rFonts w:ascii="Arial"/>
          <w:b/>
          <w:w w:val="105"/>
          <w:sz w:val="21"/>
        </w:rPr>
        <w:t xml:space="preserve"> </w:t>
      </w:r>
      <w:r w:rsidR="00E06058">
        <w:rPr>
          <w:rFonts w:ascii="Arial"/>
          <w:b/>
          <w:color w:val="111111"/>
          <w:w w:val="105"/>
          <w:sz w:val="21"/>
        </w:rPr>
        <w:t>into the Professional and Technical Unit</w:t>
      </w:r>
    </w:p>
    <w:p w:rsidR="00E06058" w:rsidRDefault="00E06058" w:rsidP="00E06058">
      <w:pPr>
        <w:rPr>
          <w:rFonts w:ascii="Arial"/>
          <w:b/>
          <w:w w:val="105"/>
          <w:sz w:val="21"/>
        </w:rPr>
      </w:pPr>
    </w:p>
    <w:p w:rsidR="00EE7FD3" w:rsidRPr="00761F10" w:rsidRDefault="00970DD2" w:rsidP="00E06058">
      <w:pPr>
        <w:rPr>
          <w:rFonts w:asciiTheme="majorHAnsi" w:hAnsiTheme="majorHAnsi"/>
          <w:w w:val="105"/>
          <w:sz w:val="21"/>
        </w:rPr>
      </w:pPr>
      <w:r w:rsidRPr="00761F10">
        <w:rPr>
          <w:rFonts w:asciiTheme="majorHAnsi" w:hAnsiTheme="majorHAnsi"/>
          <w:w w:val="105"/>
          <w:sz w:val="21"/>
        </w:rPr>
        <w:t xml:space="preserve">The following provisions amend the current Professional and Technical Unit </w:t>
      </w:r>
      <w:r w:rsidR="00587C57" w:rsidRPr="00761F10">
        <w:rPr>
          <w:rFonts w:asciiTheme="majorHAnsi" w:hAnsiTheme="majorHAnsi"/>
          <w:w w:val="105"/>
          <w:sz w:val="21"/>
        </w:rPr>
        <w:t xml:space="preserve">(P&amp;T Unit) </w:t>
      </w:r>
      <w:r w:rsidRPr="00761F10">
        <w:rPr>
          <w:rFonts w:asciiTheme="majorHAnsi" w:hAnsiTheme="majorHAnsi"/>
          <w:w w:val="105"/>
          <w:sz w:val="21"/>
        </w:rPr>
        <w:t>of the collective bargaining agreement between Fluor-BWXT Portsmouth</w:t>
      </w:r>
      <w:r w:rsidR="00587C57" w:rsidRPr="00761F10">
        <w:rPr>
          <w:rFonts w:asciiTheme="majorHAnsi" w:hAnsiTheme="majorHAnsi"/>
          <w:w w:val="105"/>
          <w:sz w:val="21"/>
        </w:rPr>
        <w:t xml:space="preserve"> (FBP or the Company)</w:t>
      </w:r>
      <w:r w:rsidRPr="00761F10">
        <w:rPr>
          <w:rFonts w:asciiTheme="majorHAnsi" w:hAnsiTheme="majorHAnsi"/>
          <w:w w:val="105"/>
          <w:sz w:val="21"/>
        </w:rPr>
        <w:t xml:space="preserve"> and the USW</w:t>
      </w:r>
      <w:r w:rsidR="00A81F29" w:rsidRPr="00761F10">
        <w:rPr>
          <w:rFonts w:asciiTheme="majorHAnsi" w:hAnsiTheme="majorHAnsi"/>
          <w:w w:val="105"/>
          <w:sz w:val="21"/>
        </w:rPr>
        <w:t xml:space="preserve"> </w:t>
      </w:r>
      <w:r w:rsidRPr="00761F10">
        <w:rPr>
          <w:rFonts w:asciiTheme="majorHAnsi" w:hAnsiTheme="majorHAnsi"/>
          <w:w w:val="105"/>
          <w:sz w:val="21"/>
        </w:rPr>
        <w:t>Internation</w:t>
      </w:r>
      <w:r w:rsidR="00970E25" w:rsidRPr="00761F10">
        <w:rPr>
          <w:rFonts w:asciiTheme="majorHAnsi" w:hAnsiTheme="majorHAnsi"/>
          <w:w w:val="105"/>
          <w:sz w:val="21"/>
        </w:rPr>
        <w:t>al of behalf of USW Local 689-1</w:t>
      </w:r>
      <w:r w:rsidR="00736ED3" w:rsidRPr="00761F10">
        <w:rPr>
          <w:rFonts w:asciiTheme="majorHAnsi" w:hAnsiTheme="majorHAnsi"/>
          <w:w w:val="105"/>
          <w:sz w:val="21"/>
        </w:rPr>
        <w:t xml:space="preserve"> to cover newly organized</w:t>
      </w:r>
      <w:r w:rsidR="00970E25" w:rsidRPr="00761F10">
        <w:rPr>
          <w:rFonts w:asciiTheme="majorHAnsi" w:hAnsiTheme="majorHAnsi"/>
          <w:w w:val="105"/>
          <w:sz w:val="21"/>
        </w:rPr>
        <w:t xml:space="preserve"> IH</w:t>
      </w:r>
      <w:r w:rsidR="00DE1228" w:rsidRPr="00761F10">
        <w:rPr>
          <w:rFonts w:asciiTheme="majorHAnsi" w:hAnsiTheme="majorHAnsi"/>
          <w:w w:val="105"/>
          <w:sz w:val="21"/>
        </w:rPr>
        <w:t xml:space="preserve"> job family</w:t>
      </w:r>
      <w:r w:rsidR="00736ED3" w:rsidRPr="00761F10">
        <w:rPr>
          <w:rFonts w:asciiTheme="majorHAnsi" w:hAnsiTheme="majorHAnsi"/>
          <w:w w:val="105"/>
          <w:sz w:val="21"/>
        </w:rPr>
        <w:t xml:space="preserve"> classifications</w:t>
      </w:r>
      <w:r w:rsidR="00DE1228" w:rsidRPr="00761F10">
        <w:rPr>
          <w:rFonts w:asciiTheme="majorHAnsi" w:hAnsiTheme="majorHAnsi"/>
          <w:w w:val="105"/>
          <w:sz w:val="21"/>
        </w:rPr>
        <w:t>,</w:t>
      </w:r>
      <w:r w:rsidRPr="00761F10">
        <w:rPr>
          <w:rFonts w:asciiTheme="majorHAnsi" w:hAnsiTheme="majorHAnsi"/>
          <w:w w:val="105"/>
          <w:sz w:val="21"/>
        </w:rPr>
        <w:t xml:space="preserve"> and </w:t>
      </w:r>
      <w:r w:rsidR="00B0168C" w:rsidRPr="00761F10">
        <w:rPr>
          <w:rFonts w:asciiTheme="majorHAnsi" w:hAnsiTheme="majorHAnsi"/>
          <w:w w:val="105"/>
          <w:sz w:val="21"/>
        </w:rPr>
        <w:t xml:space="preserve">if established </w:t>
      </w:r>
      <w:r w:rsidR="001957BC" w:rsidRPr="00761F10">
        <w:rPr>
          <w:rFonts w:asciiTheme="majorHAnsi" w:hAnsiTheme="majorHAnsi"/>
          <w:w w:val="105"/>
          <w:sz w:val="21"/>
        </w:rPr>
        <w:t xml:space="preserve">ESHQ </w:t>
      </w:r>
      <w:r w:rsidRPr="00761F10">
        <w:rPr>
          <w:rFonts w:asciiTheme="majorHAnsi" w:hAnsiTheme="majorHAnsi"/>
          <w:w w:val="105"/>
          <w:sz w:val="21"/>
        </w:rPr>
        <w:t>Technologist positions</w:t>
      </w:r>
      <w:r w:rsidR="00801882" w:rsidRPr="00761F10">
        <w:rPr>
          <w:rFonts w:asciiTheme="majorHAnsi" w:hAnsiTheme="majorHAnsi"/>
          <w:w w:val="105"/>
          <w:sz w:val="21"/>
        </w:rPr>
        <w:t xml:space="preserve"> (collectively, IH).</w:t>
      </w:r>
      <w:r w:rsidR="00083A40" w:rsidRPr="00761F10">
        <w:rPr>
          <w:rFonts w:asciiTheme="majorHAnsi" w:hAnsiTheme="majorHAnsi"/>
          <w:w w:val="105"/>
          <w:sz w:val="21"/>
        </w:rPr>
        <w:t xml:space="preserve">  </w:t>
      </w:r>
      <w:r w:rsidR="00801882" w:rsidRPr="00761F10">
        <w:rPr>
          <w:rFonts w:asciiTheme="majorHAnsi" w:hAnsiTheme="majorHAnsi"/>
          <w:w w:val="105"/>
          <w:sz w:val="21"/>
        </w:rPr>
        <w:t>The IH positions will be incorporated into the job family that includes the existing IH Associate position</w:t>
      </w:r>
      <w:r w:rsidR="00761F10" w:rsidRPr="00761F10">
        <w:rPr>
          <w:rFonts w:asciiTheme="majorHAnsi" w:hAnsiTheme="majorHAnsi"/>
          <w:w w:val="105"/>
          <w:sz w:val="21"/>
        </w:rPr>
        <w:t xml:space="preserve">.  </w:t>
      </w:r>
      <w:r w:rsidR="00970E25" w:rsidRPr="00761F10">
        <w:rPr>
          <w:rFonts w:asciiTheme="majorHAnsi" w:hAnsiTheme="majorHAnsi"/>
          <w:w w:val="105"/>
          <w:sz w:val="21"/>
        </w:rPr>
        <w:t>The IH job family</w:t>
      </w:r>
      <w:r w:rsidRPr="00761F10">
        <w:rPr>
          <w:rFonts w:asciiTheme="majorHAnsi" w:hAnsiTheme="majorHAnsi"/>
          <w:w w:val="105"/>
          <w:sz w:val="21"/>
        </w:rPr>
        <w:t xml:space="preserve"> positions </w:t>
      </w:r>
      <w:r w:rsidR="00970E25" w:rsidRPr="00761F10">
        <w:rPr>
          <w:rFonts w:asciiTheme="majorHAnsi" w:hAnsiTheme="majorHAnsi"/>
          <w:w w:val="105"/>
          <w:sz w:val="21"/>
        </w:rPr>
        <w:t>will</w:t>
      </w:r>
      <w:r w:rsidR="007E0C5D" w:rsidRPr="00761F10">
        <w:rPr>
          <w:rFonts w:asciiTheme="majorHAnsi" w:hAnsiTheme="majorHAnsi"/>
          <w:w w:val="105"/>
          <w:sz w:val="21"/>
        </w:rPr>
        <w:t xml:space="preserve"> include, in the following order of progression:</w:t>
      </w:r>
    </w:p>
    <w:p w:rsidR="00970DD2" w:rsidRPr="00761F10" w:rsidRDefault="00970DD2" w:rsidP="00970DD2">
      <w:pPr>
        <w:spacing w:after="0"/>
        <w:rPr>
          <w:rFonts w:asciiTheme="majorHAnsi" w:hAnsiTheme="majorHAnsi"/>
          <w:w w:val="105"/>
          <w:sz w:val="21"/>
        </w:rPr>
      </w:pPr>
      <w:r w:rsidRPr="00761F10">
        <w:rPr>
          <w:rFonts w:asciiTheme="majorHAnsi" w:hAnsiTheme="majorHAnsi"/>
          <w:w w:val="105"/>
          <w:sz w:val="21"/>
        </w:rPr>
        <w:tab/>
        <w:t>IH Respirator Tech</w:t>
      </w:r>
    </w:p>
    <w:p w:rsidR="00970DD2" w:rsidRPr="00761F10" w:rsidRDefault="00970DD2" w:rsidP="00970DD2">
      <w:pPr>
        <w:spacing w:after="0"/>
        <w:rPr>
          <w:rFonts w:asciiTheme="majorHAnsi" w:hAnsiTheme="majorHAnsi"/>
          <w:w w:val="105"/>
          <w:sz w:val="21"/>
        </w:rPr>
      </w:pPr>
      <w:r w:rsidRPr="00761F10">
        <w:rPr>
          <w:rFonts w:asciiTheme="majorHAnsi" w:hAnsiTheme="majorHAnsi"/>
          <w:w w:val="105"/>
          <w:sz w:val="21"/>
        </w:rPr>
        <w:tab/>
        <w:t>IH Tech, Jr.</w:t>
      </w:r>
    </w:p>
    <w:p w:rsidR="00970DD2" w:rsidRPr="00761F10" w:rsidRDefault="00970DD2" w:rsidP="00970DD2">
      <w:pPr>
        <w:spacing w:after="0"/>
        <w:rPr>
          <w:rFonts w:asciiTheme="majorHAnsi" w:hAnsiTheme="majorHAnsi"/>
          <w:w w:val="105"/>
          <w:sz w:val="21"/>
        </w:rPr>
      </w:pPr>
      <w:r w:rsidRPr="00761F10">
        <w:rPr>
          <w:rFonts w:asciiTheme="majorHAnsi" w:hAnsiTheme="majorHAnsi"/>
          <w:w w:val="105"/>
          <w:sz w:val="21"/>
        </w:rPr>
        <w:tab/>
        <w:t>IH Tech, Sr.</w:t>
      </w:r>
    </w:p>
    <w:p w:rsidR="00970DD2" w:rsidRPr="00761F10" w:rsidRDefault="00970DD2" w:rsidP="00970DD2">
      <w:pPr>
        <w:spacing w:after="0"/>
        <w:rPr>
          <w:rFonts w:asciiTheme="majorHAnsi" w:hAnsiTheme="majorHAnsi"/>
          <w:w w:val="105"/>
          <w:sz w:val="21"/>
        </w:rPr>
      </w:pPr>
      <w:r w:rsidRPr="00761F10">
        <w:rPr>
          <w:rFonts w:asciiTheme="majorHAnsi" w:hAnsiTheme="majorHAnsi"/>
          <w:w w:val="105"/>
          <w:sz w:val="21"/>
        </w:rPr>
        <w:tab/>
        <w:t>IH Tech, Lead</w:t>
      </w:r>
    </w:p>
    <w:p w:rsidR="00DE1228" w:rsidRPr="00761F10" w:rsidRDefault="00DE1228" w:rsidP="00970DD2">
      <w:pPr>
        <w:spacing w:after="0"/>
        <w:rPr>
          <w:rFonts w:asciiTheme="majorHAnsi" w:hAnsiTheme="majorHAnsi"/>
          <w:w w:val="105"/>
          <w:sz w:val="21"/>
        </w:rPr>
      </w:pPr>
      <w:r w:rsidRPr="00761F10">
        <w:rPr>
          <w:rFonts w:asciiTheme="majorHAnsi" w:hAnsiTheme="majorHAnsi"/>
          <w:w w:val="105"/>
          <w:sz w:val="21"/>
        </w:rPr>
        <w:tab/>
        <w:t>IH Associate - existing</w:t>
      </w:r>
    </w:p>
    <w:p w:rsidR="00970DD2" w:rsidRPr="00761F10" w:rsidRDefault="00970DD2" w:rsidP="00970DD2">
      <w:pPr>
        <w:spacing w:after="0"/>
        <w:rPr>
          <w:rFonts w:asciiTheme="majorHAnsi" w:hAnsiTheme="majorHAnsi"/>
          <w:w w:val="105"/>
          <w:sz w:val="21"/>
        </w:rPr>
      </w:pPr>
      <w:r w:rsidRPr="00761F10">
        <w:rPr>
          <w:rFonts w:asciiTheme="majorHAnsi" w:hAnsiTheme="majorHAnsi"/>
          <w:w w:val="105"/>
          <w:sz w:val="21"/>
        </w:rPr>
        <w:tab/>
      </w:r>
      <w:r w:rsidR="001957BC" w:rsidRPr="00761F10">
        <w:rPr>
          <w:rFonts w:asciiTheme="majorHAnsi" w:hAnsiTheme="majorHAnsi"/>
          <w:w w:val="105"/>
          <w:sz w:val="21"/>
        </w:rPr>
        <w:t xml:space="preserve">ESHQ </w:t>
      </w:r>
      <w:r w:rsidRPr="00761F10">
        <w:rPr>
          <w:rFonts w:asciiTheme="majorHAnsi" w:hAnsiTheme="majorHAnsi"/>
          <w:w w:val="105"/>
          <w:sz w:val="21"/>
        </w:rPr>
        <w:t>Technologist</w:t>
      </w:r>
      <w:r w:rsidR="00083A40" w:rsidRPr="00761F10">
        <w:rPr>
          <w:rFonts w:asciiTheme="majorHAnsi" w:hAnsiTheme="majorHAnsi"/>
          <w:w w:val="105"/>
          <w:sz w:val="21"/>
        </w:rPr>
        <w:t xml:space="preserve"> –</w:t>
      </w:r>
      <w:r w:rsidR="00B0168C" w:rsidRPr="00761F10">
        <w:rPr>
          <w:rFonts w:asciiTheme="majorHAnsi" w:hAnsiTheme="majorHAnsi"/>
          <w:w w:val="105"/>
          <w:sz w:val="21"/>
        </w:rPr>
        <w:t>if established</w:t>
      </w:r>
    </w:p>
    <w:p w:rsidR="00970DD2" w:rsidRPr="00761F10" w:rsidRDefault="00970DD2" w:rsidP="00970DD2">
      <w:pPr>
        <w:spacing w:after="0"/>
        <w:rPr>
          <w:rFonts w:asciiTheme="majorHAnsi" w:hAnsiTheme="majorHAnsi"/>
          <w:w w:val="105"/>
          <w:sz w:val="21"/>
        </w:rPr>
      </w:pPr>
    </w:p>
    <w:p w:rsidR="00EE7FD3" w:rsidRPr="00761F10" w:rsidRDefault="00083A40" w:rsidP="00970DD2">
      <w:pPr>
        <w:rPr>
          <w:rFonts w:asciiTheme="majorHAnsi" w:hAnsiTheme="majorHAnsi"/>
          <w:w w:val="105"/>
          <w:sz w:val="21"/>
        </w:rPr>
      </w:pPr>
      <w:r w:rsidRPr="00761F10">
        <w:rPr>
          <w:rFonts w:asciiTheme="majorHAnsi" w:hAnsiTheme="majorHAnsi"/>
          <w:w w:val="105"/>
          <w:sz w:val="21"/>
        </w:rPr>
        <w:t>The parties acknow</w:t>
      </w:r>
      <w:r w:rsidR="00E004BB" w:rsidRPr="00761F10">
        <w:rPr>
          <w:rFonts w:asciiTheme="majorHAnsi" w:hAnsiTheme="majorHAnsi"/>
          <w:w w:val="105"/>
          <w:sz w:val="21"/>
        </w:rPr>
        <w:t>ledge that the Company</w:t>
      </w:r>
      <w:r w:rsidR="00970DD2" w:rsidRPr="00761F10">
        <w:rPr>
          <w:rFonts w:asciiTheme="majorHAnsi" w:hAnsiTheme="majorHAnsi"/>
          <w:w w:val="105"/>
          <w:sz w:val="21"/>
        </w:rPr>
        <w:t xml:space="preserve"> voluntarily recognized</w:t>
      </w:r>
      <w:r w:rsidR="00E004BB" w:rsidRPr="00761F10">
        <w:rPr>
          <w:rFonts w:asciiTheme="majorHAnsi" w:hAnsiTheme="majorHAnsi"/>
          <w:w w:val="105"/>
          <w:sz w:val="21"/>
        </w:rPr>
        <w:t xml:space="preserve"> the Union as the bargaining representative for IH Respirator Tech, IH Tech, Jr., IH Tech, Sr., IH Tech Lead, and ESHQ Technologist positions </w:t>
      </w:r>
      <w:r w:rsidR="00970DD2" w:rsidRPr="00761F10">
        <w:rPr>
          <w:rFonts w:asciiTheme="majorHAnsi" w:hAnsiTheme="majorHAnsi"/>
          <w:w w:val="105"/>
          <w:sz w:val="21"/>
        </w:rPr>
        <w:t>by the Company via letter of stipulation signed by both parties on February 18, 2019.</w:t>
      </w:r>
    </w:p>
    <w:p w:rsidR="00587C57" w:rsidRPr="00761F10" w:rsidRDefault="00587C57" w:rsidP="00970DD2">
      <w:pPr>
        <w:rPr>
          <w:rFonts w:asciiTheme="majorHAnsi" w:hAnsiTheme="majorHAnsi"/>
          <w:w w:val="105"/>
          <w:sz w:val="21"/>
        </w:rPr>
      </w:pPr>
      <w:r w:rsidRPr="00761F10">
        <w:rPr>
          <w:rFonts w:asciiTheme="majorHAnsi" w:hAnsiTheme="majorHAnsi"/>
          <w:w w:val="105"/>
          <w:sz w:val="21"/>
        </w:rPr>
        <w:t xml:space="preserve">The provisions of all Articles within the current P&amp;T Unit are applicable for these newly added </w:t>
      </w:r>
      <w:r w:rsidR="00001183" w:rsidRPr="00761F10">
        <w:rPr>
          <w:rFonts w:asciiTheme="majorHAnsi" w:hAnsiTheme="majorHAnsi"/>
          <w:w w:val="105"/>
          <w:sz w:val="21"/>
        </w:rPr>
        <w:t>IH</w:t>
      </w:r>
      <w:r w:rsidR="007E0C5D" w:rsidRPr="00761F10">
        <w:rPr>
          <w:rFonts w:asciiTheme="majorHAnsi" w:hAnsiTheme="majorHAnsi"/>
          <w:w w:val="105"/>
          <w:sz w:val="21"/>
        </w:rPr>
        <w:t xml:space="preserve"> job</w:t>
      </w:r>
      <w:r w:rsidR="00001183" w:rsidRPr="00761F10">
        <w:rPr>
          <w:rFonts w:asciiTheme="majorHAnsi" w:hAnsiTheme="majorHAnsi"/>
          <w:w w:val="105"/>
          <w:sz w:val="21"/>
        </w:rPr>
        <w:t xml:space="preserve"> family </w:t>
      </w:r>
      <w:r w:rsidRPr="00761F10">
        <w:rPr>
          <w:rFonts w:asciiTheme="majorHAnsi" w:hAnsiTheme="majorHAnsi"/>
          <w:w w:val="105"/>
          <w:sz w:val="21"/>
        </w:rPr>
        <w:t>classifications, subject to the following clauses amending specific Articles.  In addition</w:t>
      </w:r>
      <w:r w:rsidR="00F36020" w:rsidRPr="00761F10">
        <w:rPr>
          <w:rFonts w:asciiTheme="majorHAnsi" w:hAnsiTheme="majorHAnsi"/>
          <w:w w:val="105"/>
          <w:sz w:val="21"/>
          <w:u w:val="single"/>
        </w:rPr>
        <w:t xml:space="preserve">, </w:t>
      </w:r>
      <w:r w:rsidR="00F36020" w:rsidRPr="00761F10">
        <w:rPr>
          <w:rFonts w:asciiTheme="majorHAnsi" w:hAnsiTheme="majorHAnsi"/>
          <w:w w:val="105"/>
          <w:sz w:val="21"/>
        </w:rPr>
        <w:t>position advancement processes are defined in</w:t>
      </w:r>
      <w:r w:rsidRPr="00761F10">
        <w:rPr>
          <w:rFonts w:asciiTheme="majorHAnsi" w:hAnsiTheme="majorHAnsi"/>
          <w:w w:val="105"/>
          <w:sz w:val="21"/>
        </w:rPr>
        <w:t xml:space="preserve"> a new Appendix F </w:t>
      </w:r>
      <w:r w:rsidR="00F36020" w:rsidRPr="00761F10">
        <w:rPr>
          <w:rFonts w:asciiTheme="majorHAnsi" w:hAnsiTheme="majorHAnsi"/>
          <w:w w:val="105"/>
          <w:sz w:val="21"/>
        </w:rPr>
        <w:t xml:space="preserve">for the </w:t>
      </w:r>
      <w:r w:rsidR="00970E25" w:rsidRPr="00761F10">
        <w:rPr>
          <w:rFonts w:asciiTheme="majorHAnsi" w:hAnsiTheme="majorHAnsi"/>
          <w:w w:val="105"/>
          <w:sz w:val="21"/>
        </w:rPr>
        <w:t>IH</w:t>
      </w:r>
      <w:r w:rsidRPr="00761F10">
        <w:rPr>
          <w:rFonts w:asciiTheme="majorHAnsi" w:hAnsiTheme="majorHAnsi"/>
          <w:w w:val="105"/>
          <w:sz w:val="21"/>
        </w:rPr>
        <w:t xml:space="preserve"> </w:t>
      </w:r>
      <w:r w:rsidR="007E0C5D" w:rsidRPr="00761F10">
        <w:rPr>
          <w:rFonts w:asciiTheme="majorHAnsi" w:hAnsiTheme="majorHAnsi"/>
          <w:w w:val="105"/>
          <w:sz w:val="21"/>
        </w:rPr>
        <w:t xml:space="preserve">job </w:t>
      </w:r>
      <w:r w:rsidR="00E004BB" w:rsidRPr="00761F10">
        <w:rPr>
          <w:rFonts w:asciiTheme="majorHAnsi" w:hAnsiTheme="majorHAnsi"/>
          <w:w w:val="105"/>
          <w:sz w:val="21"/>
        </w:rPr>
        <w:t xml:space="preserve">family </w:t>
      </w:r>
      <w:r w:rsidR="00F36020" w:rsidRPr="00761F10">
        <w:rPr>
          <w:rFonts w:asciiTheme="majorHAnsi" w:hAnsiTheme="majorHAnsi"/>
          <w:w w:val="105"/>
          <w:sz w:val="21"/>
        </w:rPr>
        <w:t>positions</w:t>
      </w:r>
      <w:r w:rsidR="00E004BB" w:rsidRPr="00761F10">
        <w:rPr>
          <w:rFonts w:asciiTheme="majorHAnsi" w:hAnsiTheme="majorHAnsi"/>
          <w:i/>
          <w:w w:val="105"/>
          <w:sz w:val="21"/>
        </w:rPr>
        <w:t xml:space="preserve">. </w:t>
      </w:r>
    </w:p>
    <w:p w:rsidR="00970DD2" w:rsidRPr="00761F10" w:rsidRDefault="00970DD2" w:rsidP="00970DD2">
      <w:pPr>
        <w:spacing w:after="0"/>
        <w:rPr>
          <w:rFonts w:asciiTheme="majorHAnsi" w:hAnsiTheme="majorHAnsi"/>
          <w:w w:val="105"/>
          <w:sz w:val="21"/>
        </w:rPr>
      </w:pPr>
      <w:r w:rsidRPr="00761F10">
        <w:rPr>
          <w:rFonts w:asciiTheme="majorHAnsi" w:hAnsiTheme="majorHAnsi"/>
          <w:w w:val="105"/>
          <w:sz w:val="21"/>
        </w:rPr>
        <w:t>Article II – Recognition</w:t>
      </w:r>
    </w:p>
    <w:p w:rsidR="00AD44B7" w:rsidRPr="00761F10" w:rsidRDefault="00AD44B7" w:rsidP="00AD44B7">
      <w:pPr>
        <w:spacing w:after="0"/>
        <w:ind w:left="720"/>
        <w:rPr>
          <w:rFonts w:asciiTheme="majorHAnsi" w:hAnsiTheme="majorHAnsi"/>
          <w:w w:val="105"/>
          <w:sz w:val="21"/>
        </w:rPr>
      </w:pPr>
      <w:r w:rsidRPr="00761F10">
        <w:rPr>
          <w:rFonts w:asciiTheme="majorHAnsi" w:hAnsiTheme="majorHAnsi"/>
          <w:w w:val="105"/>
          <w:sz w:val="21"/>
        </w:rPr>
        <w:t>Is hereby</w:t>
      </w:r>
      <w:r w:rsidR="00970DD2" w:rsidRPr="00761F10">
        <w:rPr>
          <w:rFonts w:asciiTheme="majorHAnsi" w:hAnsiTheme="majorHAnsi"/>
          <w:w w:val="105"/>
          <w:sz w:val="21"/>
        </w:rPr>
        <w:t xml:space="preserve"> amended to include the newly added classifications</w:t>
      </w:r>
      <w:r w:rsidRPr="00761F10">
        <w:rPr>
          <w:rFonts w:asciiTheme="majorHAnsi" w:hAnsiTheme="majorHAnsi"/>
          <w:w w:val="105"/>
          <w:sz w:val="21"/>
        </w:rPr>
        <w:t>:</w:t>
      </w:r>
      <w:r w:rsidR="00970DD2" w:rsidRPr="00761F10">
        <w:rPr>
          <w:rFonts w:asciiTheme="majorHAnsi" w:hAnsiTheme="majorHAnsi"/>
          <w:w w:val="105"/>
          <w:sz w:val="21"/>
        </w:rPr>
        <w:t xml:space="preserve"> </w:t>
      </w:r>
    </w:p>
    <w:p w:rsidR="00AD44B7" w:rsidRPr="00761F10" w:rsidRDefault="00AD44B7" w:rsidP="00AD44B7">
      <w:pPr>
        <w:spacing w:after="0"/>
        <w:ind w:left="720" w:firstLine="720"/>
        <w:rPr>
          <w:rFonts w:asciiTheme="majorHAnsi" w:hAnsiTheme="majorHAnsi"/>
          <w:w w:val="105"/>
          <w:sz w:val="21"/>
        </w:rPr>
      </w:pPr>
      <w:r w:rsidRPr="00761F10">
        <w:rPr>
          <w:rFonts w:asciiTheme="majorHAnsi" w:hAnsiTheme="majorHAnsi"/>
          <w:w w:val="105"/>
          <w:sz w:val="21"/>
        </w:rPr>
        <w:t>IH Respirator Tech</w:t>
      </w:r>
    </w:p>
    <w:p w:rsidR="00AD44B7" w:rsidRPr="00761F10" w:rsidRDefault="00AD44B7" w:rsidP="00AD44B7">
      <w:pPr>
        <w:spacing w:after="0"/>
        <w:rPr>
          <w:rFonts w:asciiTheme="majorHAnsi" w:hAnsiTheme="majorHAnsi"/>
          <w:w w:val="105"/>
          <w:sz w:val="21"/>
        </w:rPr>
      </w:pPr>
      <w:r w:rsidRPr="00761F10">
        <w:rPr>
          <w:rFonts w:asciiTheme="majorHAnsi" w:hAnsiTheme="majorHAnsi"/>
          <w:w w:val="105"/>
          <w:sz w:val="21"/>
        </w:rPr>
        <w:tab/>
      </w:r>
      <w:r w:rsidRPr="00761F10">
        <w:rPr>
          <w:rFonts w:asciiTheme="majorHAnsi" w:hAnsiTheme="majorHAnsi"/>
          <w:w w:val="105"/>
          <w:sz w:val="21"/>
        </w:rPr>
        <w:tab/>
        <w:t>IH Tech, Jr.</w:t>
      </w:r>
    </w:p>
    <w:p w:rsidR="00AD44B7" w:rsidRPr="00761F10" w:rsidRDefault="00AD44B7" w:rsidP="00AD44B7">
      <w:pPr>
        <w:spacing w:after="0"/>
        <w:rPr>
          <w:rFonts w:asciiTheme="majorHAnsi" w:hAnsiTheme="majorHAnsi"/>
          <w:w w:val="105"/>
          <w:sz w:val="21"/>
        </w:rPr>
      </w:pPr>
      <w:r w:rsidRPr="00761F10">
        <w:rPr>
          <w:rFonts w:asciiTheme="majorHAnsi" w:hAnsiTheme="majorHAnsi"/>
          <w:w w:val="105"/>
          <w:sz w:val="21"/>
        </w:rPr>
        <w:tab/>
      </w:r>
      <w:r w:rsidRPr="00761F10">
        <w:rPr>
          <w:rFonts w:asciiTheme="majorHAnsi" w:hAnsiTheme="majorHAnsi"/>
          <w:w w:val="105"/>
          <w:sz w:val="21"/>
        </w:rPr>
        <w:tab/>
        <w:t>IH Tech, Sr.</w:t>
      </w:r>
    </w:p>
    <w:p w:rsidR="00AD44B7" w:rsidRPr="00761F10" w:rsidRDefault="00AD44B7" w:rsidP="00AD44B7">
      <w:pPr>
        <w:spacing w:after="0"/>
        <w:rPr>
          <w:rFonts w:asciiTheme="majorHAnsi" w:hAnsiTheme="majorHAnsi"/>
          <w:w w:val="105"/>
          <w:sz w:val="21"/>
        </w:rPr>
      </w:pPr>
      <w:r w:rsidRPr="00761F10">
        <w:rPr>
          <w:rFonts w:asciiTheme="majorHAnsi" w:hAnsiTheme="majorHAnsi"/>
          <w:w w:val="105"/>
          <w:sz w:val="21"/>
        </w:rPr>
        <w:tab/>
      </w:r>
      <w:r w:rsidRPr="00761F10">
        <w:rPr>
          <w:rFonts w:asciiTheme="majorHAnsi" w:hAnsiTheme="majorHAnsi"/>
          <w:w w:val="105"/>
          <w:sz w:val="21"/>
        </w:rPr>
        <w:tab/>
        <w:t>IH Tech, Lead</w:t>
      </w:r>
    </w:p>
    <w:p w:rsidR="00AD44B7" w:rsidRPr="00761F10" w:rsidRDefault="00AD44B7" w:rsidP="00AD44B7">
      <w:pPr>
        <w:spacing w:after="0"/>
        <w:rPr>
          <w:rFonts w:asciiTheme="majorHAnsi" w:hAnsiTheme="majorHAnsi"/>
          <w:w w:val="105"/>
          <w:sz w:val="21"/>
        </w:rPr>
      </w:pPr>
      <w:r w:rsidRPr="00761F10">
        <w:rPr>
          <w:rFonts w:asciiTheme="majorHAnsi" w:hAnsiTheme="majorHAnsi"/>
          <w:w w:val="105"/>
          <w:sz w:val="21"/>
        </w:rPr>
        <w:tab/>
      </w:r>
      <w:r w:rsidRPr="00761F10">
        <w:rPr>
          <w:rFonts w:asciiTheme="majorHAnsi" w:hAnsiTheme="majorHAnsi"/>
          <w:w w:val="105"/>
          <w:sz w:val="21"/>
        </w:rPr>
        <w:tab/>
      </w:r>
      <w:r w:rsidR="001957BC" w:rsidRPr="00761F10">
        <w:rPr>
          <w:rFonts w:asciiTheme="majorHAnsi" w:hAnsiTheme="majorHAnsi"/>
          <w:w w:val="105"/>
          <w:sz w:val="21"/>
        </w:rPr>
        <w:t xml:space="preserve">ESHQ </w:t>
      </w:r>
      <w:r w:rsidRPr="00761F10">
        <w:rPr>
          <w:rFonts w:asciiTheme="majorHAnsi" w:hAnsiTheme="majorHAnsi"/>
          <w:w w:val="105"/>
          <w:sz w:val="21"/>
        </w:rPr>
        <w:t>Technologist</w:t>
      </w:r>
      <w:r w:rsidR="00B0168C" w:rsidRPr="00761F10">
        <w:rPr>
          <w:rFonts w:asciiTheme="majorHAnsi" w:hAnsiTheme="majorHAnsi"/>
          <w:w w:val="105"/>
          <w:sz w:val="21"/>
        </w:rPr>
        <w:t xml:space="preserve"> – if established</w:t>
      </w:r>
    </w:p>
    <w:p w:rsidR="007B5DB7" w:rsidRPr="00761F10" w:rsidRDefault="007B5DB7" w:rsidP="00AD44B7">
      <w:pPr>
        <w:spacing w:after="0"/>
        <w:rPr>
          <w:rFonts w:asciiTheme="majorHAnsi" w:hAnsiTheme="majorHAnsi"/>
          <w:w w:val="105"/>
          <w:sz w:val="21"/>
        </w:rPr>
      </w:pPr>
    </w:p>
    <w:p w:rsidR="00AD44B7" w:rsidRPr="00761F10" w:rsidRDefault="00AD44B7" w:rsidP="00AD44B7">
      <w:pPr>
        <w:spacing w:after="0"/>
        <w:rPr>
          <w:rFonts w:asciiTheme="majorHAnsi" w:hAnsiTheme="majorHAnsi"/>
          <w:w w:val="105"/>
          <w:sz w:val="21"/>
        </w:rPr>
      </w:pPr>
      <w:r w:rsidRPr="00761F10">
        <w:rPr>
          <w:rFonts w:asciiTheme="majorHAnsi" w:hAnsiTheme="majorHAnsi"/>
          <w:w w:val="105"/>
          <w:sz w:val="21"/>
        </w:rPr>
        <w:t>Article XVII – Wage Rate and Progression</w:t>
      </w:r>
    </w:p>
    <w:p w:rsidR="00AD44B7" w:rsidRPr="00761F10" w:rsidRDefault="00AD44B7" w:rsidP="00AD44B7">
      <w:pPr>
        <w:spacing w:after="0"/>
        <w:rPr>
          <w:rFonts w:asciiTheme="majorHAnsi" w:hAnsiTheme="majorHAnsi"/>
          <w:w w:val="105"/>
          <w:sz w:val="21"/>
        </w:rPr>
      </w:pPr>
      <w:r w:rsidRPr="00761F10">
        <w:rPr>
          <w:rFonts w:asciiTheme="majorHAnsi" w:hAnsiTheme="majorHAnsi"/>
          <w:w w:val="105"/>
          <w:sz w:val="21"/>
        </w:rPr>
        <w:tab/>
        <w:t>Is hereby amended to include the following in Section 2:</w:t>
      </w:r>
    </w:p>
    <w:p w:rsidR="00AD44B7" w:rsidRPr="00761F10" w:rsidRDefault="00AD44B7" w:rsidP="00AD44B7">
      <w:pPr>
        <w:spacing w:after="0"/>
        <w:rPr>
          <w:rFonts w:asciiTheme="majorHAnsi" w:hAnsiTheme="majorHAnsi"/>
          <w:w w:val="105"/>
          <w:sz w:val="21"/>
        </w:rPr>
      </w:pPr>
    </w:p>
    <w:p w:rsidR="00E1469D" w:rsidRPr="00761F10" w:rsidRDefault="00761F10" w:rsidP="00E1469D">
      <w:pPr>
        <w:spacing w:after="0"/>
        <w:ind w:left="720"/>
        <w:rPr>
          <w:rFonts w:asciiTheme="majorHAnsi" w:hAnsiTheme="majorHAnsi"/>
          <w:w w:val="105"/>
          <w:sz w:val="21"/>
        </w:rPr>
      </w:pPr>
      <w:r w:rsidRPr="00761F10">
        <w:rPr>
          <w:rFonts w:asciiTheme="majorHAnsi" w:hAnsiTheme="majorHAnsi"/>
          <w:w w:val="105"/>
          <w:sz w:val="21"/>
        </w:rPr>
        <w:t>For</w:t>
      </w:r>
      <w:r w:rsidR="00B0118A" w:rsidRPr="00761F10">
        <w:rPr>
          <w:rFonts w:asciiTheme="majorHAnsi" w:hAnsiTheme="majorHAnsi"/>
          <w:w w:val="105"/>
          <w:sz w:val="21"/>
        </w:rPr>
        <w:t xml:space="preserve"> 2020</w:t>
      </w:r>
      <w:r w:rsidR="00E1469D" w:rsidRPr="00761F10">
        <w:rPr>
          <w:rFonts w:asciiTheme="majorHAnsi" w:hAnsiTheme="majorHAnsi"/>
          <w:w w:val="105"/>
          <w:sz w:val="21"/>
        </w:rPr>
        <w:t xml:space="preserve"> and upon ratification,</w:t>
      </w:r>
      <w:r w:rsidR="00970E25" w:rsidRPr="00761F10">
        <w:rPr>
          <w:rFonts w:asciiTheme="majorHAnsi" w:hAnsiTheme="majorHAnsi"/>
          <w:w w:val="105"/>
          <w:sz w:val="21"/>
        </w:rPr>
        <w:t xml:space="preserve"> the standard rates in Appendix</w:t>
      </w:r>
      <w:r w:rsidR="00E004BB" w:rsidRPr="00761F10">
        <w:rPr>
          <w:rFonts w:asciiTheme="majorHAnsi" w:hAnsiTheme="majorHAnsi"/>
          <w:w w:val="105"/>
          <w:sz w:val="21"/>
        </w:rPr>
        <w:t xml:space="preserve"> A, as amended by Appendix H</w:t>
      </w:r>
      <w:r w:rsidR="00E1469D" w:rsidRPr="00761F10">
        <w:rPr>
          <w:rFonts w:asciiTheme="majorHAnsi" w:hAnsiTheme="majorHAnsi"/>
          <w:w w:val="105"/>
          <w:sz w:val="21"/>
        </w:rPr>
        <w:t xml:space="preserve"> will apply.  </w:t>
      </w:r>
      <w:r w:rsidR="00001183" w:rsidRPr="00761F10">
        <w:rPr>
          <w:rFonts w:asciiTheme="majorHAnsi" w:hAnsiTheme="majorHAnsi"/>
          <w:w w:val="105"/>
          <w:sz w:val="21"/>
        </w:rPr>
        <w:t xml:space="preserve">Incumbent </w:t>
      </w:r>
      <w:r w:rsidR="00E1469D" w:rsidRPr="00761F10">
        <w:rPr>
          <w:rFonts w:asciiTheme="majorHAnsi" w:hAnsiTheme="majorHAnsi"/>
          <w:w w:val="105"/>
          <w:sz w:val="21"/>
        </w:rPr>
        <w:t>employees below the standard rate will have their rate adjusted to the standard rate.  Those employees above the standard rate will be red-circled and receive a 2.25% lump sum payment.</w:t>
      </w:r>
      <w:r w:rsidR="00B0118A" w:rsidRPr="00761F10">
        <w:rPr>
          <w:rFonts w:asciiTheme="majorHAnsi" w:hAnsiTheme="majorHAnsi"/>
          <w:w w:val="105"/>
          <w:sz w:val="21"/>
        </w:rPr>
        <w:t xml:space="preserve">  Rate increases will be effective retroactive to August 17, 2020 for current incumbents and new hires since that date.</w:t>
      </w:r>
    </w:p>
    <w:p w:rsidR="00E1469D" w:rsidRDefault="00E1469D" w:rsidP="00E1469D">
      <w:pPr>
        <w:spacing w:after="0"/>
        <w:rPr>
          <w:rFonts w:asciiTheme="majorHAnsi" w:hAnsiTheme="majorHAnsi"/>
          <w:w w:val="105"/>
          <w:sz w:val="21"/>
        </w:rPr>
      </w:pPr>
    </w:p>
    <w:p w:rsidR="00342A5E" w:rsidRPr="00761F10" w:rsidRDefault="00E1469D" w:rsidP="00E1469D">
      <w:pPr>
        <w:spacing w:after="0"/>
        <w:ind w:left="720"/>
        <w:rPr>
          <w:rFonts w:asciiTheme="majorHAnsi" w:hAnsiTheme="majorHAnsi"/>
          <w:w w:val="105"/>
          <w:sz w:val="21"/>
        </w:rPr>
      </w:pPr>
      <w:r w:rsidRPr="00761F10">
        <w:rPr>
          <w:rFonts w:asciiTheme="majorHAnsi" w:hAnsiTheme="majorHAnsi"/>
          <w:w w:val="105"/>
          <w:sz w:val="21"/>
        </w:rPr>
        <w:lastRenderedPageBreak/>
        <w:t xml:space="preserve">For 2021 </w:t>
      </w:r>
      <w:r w:rsidR="00E004BB" w:rsidRPr="00761F10">
        <w:rPr>
          <w:rFonts w:asciiTheme="majorHAnsi" w:hAnsiTheme="majorHAnsi"/>
          <w:w w:val="105"/>
          <w:sz w:val="21"/>
        </w:rPr>
        <w:t xml:space="preserve">employees in </w:t>
      </w:r>
      <w:r w:rsidR="00342A5E" w:rsidRPr="00761F10">
        <w:rPr>
          <w:rFonts w:asciiTheme="majorHAnsi" w:hAnsiTheme="majorHAnsi"/>
          <w:w w:val="105"/>
          <w:sz w:val="21"/>
        </w:rPr>
        <w:t xml:space="preserve">IH </w:t>
      </w:r>
      <w:r w:rsidR="00E004BB" w:rsidRPr="00761F10">
        <w:rPr>
          <w:rFonts w:asciiTheme="majorHAnsi" w:hAnsiTheme="majorHAnsi"/>
          <w:w w:val="105"/>
          <w:sz w:val="21"/>
        </w:rPr>
        <w:t>job family positions</w:t>
      </w:r>
      <w:r w:rsidR="00342A5E" w:rsidRPr="00761F10">
        <w:rPr>
          <w:rFonts w:asciiTheme="majorHAnsi" w:hAnsiTheme="majorHAnsi"/>
          <w:w w:val="105"/>
          <w:sz w:val="21"/>
        </w:rPr>
        <w:t xml:space="preserve"> whose rates exceed th</w:t>
      </w:r>
      <w:r w:rsidRPr="00761F10">
        <w:rPr>
          <w:rFonts w:asciiTheme="majorHAnsi" w:hAnsiTheme="majorHAnsi"/>
          <w:w w:val="105"/>
          <w:sz w:val="21"/>
        </w:rPr>
        <w:t>e proposed rates</w:t>
      </w:r>
      <w:r w:rsidR="00342A5E" w:rsidRPr="00761F10">
        <w:rPr>
          <w:rFonts w:asciiTheme="majorHAnsi" w:hAnsiTheme="majorHAnsi"/>
          <w:w w:val="105"/>
          <w:sz w:val="21"/>
        </w:rPr>
        <w:t xml:space="preserve"> will </w:t>
      </w:r>
      <w:r w:rsidRPr="00761F10">
        <w:rPr>
          <w:rFonts w:asciiTheme="majorHAnsi" w:hAnsiTheme="majorHAnsi"/>
          <w:w w:val="105"/>
          <w:sz w:val="21"/>
        </w:rPr>
        <w:t xml:space="preserve">continue to </w:t>
      </w:r>
      <w:r w:rsidR="00342A5E" w:rsidRPr="00761F10">
        <w:rPr>
          <w:rFonts w:asciiTheme="majorHAnsi" w:hAnsiTheme="majorHAnsi"/>
          <w:w w:val="105"/>
          <w:sz w:val="21"/>
        </w:rPr>
        <w:t xml:space="preserve">be red-circled and lump sum payments </w:t>
      </w:r>
      <w:r w:rsidRPr="00761F10">
        <w:rPr>
          <w:rFonts w:asciiTheme="majorHAnsi" w:hAnsiTheme="majorHAnsi"/>
          <w:w w:val="105"/>
          <w:sz w:val="21"/>
        </w:rPr>
        <w:t xml:space="preserve">of 2.25% </w:t>
      </w:r>
      <w:r w:rsidR="00342A5E" w:rsidRPr="00761F10">
        <w:rPr>
          <w:rFonts w:asciiTheme="majorHAnsi" w:hAnsiTheme="majorHAnsi"/>
          <w:w w:val="105"/>
          <w:sz w:val="21"/>
        </w:rPr>
        <w:t xml:space="preserve">made annually until such time as their rates fall below the standard rates in Appendix </w:t>
      </w:r>
      <w:r w:rsidR="00761F10">
        <w:rPr>
          <w:rFonts w:asciiTheme="majorHAnsi" w:hAnsiTheme="majorHAnsi"/>
          <w:w w:val="105"/>
          <w:sz w:val="21"/>
        </w:rPr>
        <w:t>A,</w:t>
      </w:r>
      <w:r w:rsidR="00E004BB" w:rsidRPr="00761F10">
        <w:rPr>
          <w:rFonts w:asciiTheme="majorHAnsi" w:hAnsiTheme="majorHAnsi"/>
          <w:w w:val="105"/>
          <w:sz w:val="21"/>
        </w:rPr>
        <w:t xml:space="preserve"> as amended by Appendix </w:t>
      </w:r>
      <w:r w:rsidR="00F36020" w:rsidRPr="00761F10">
        <w:rPr>
          <w:rFonts w:asciiTheme="majorHAnsi" w:hAnsiTheme="majorHAnsi"/>
          <w:w w:val="105"/>
          <w:sz w:val="21"/>
          <w:u w:val="single"/>
        </w:rPr>
        <w:t>H</w:t>
      </w:r>
      <w:r w:rsidRPr="00761F10">
        <w:rPr>
          <w:rFonts w:asciiTheme="majorHAnsi" w:hAnsiTheme="majorHAnsi"/>
          <w:w w:val="105"/>
          <w:sz w:val="21"/>
        </w:rPr>
        <w:t>.</w:t>
      </w:r>
    </w:p>
    <w:p w:rsidR="00727933" w:rsidRPr="00761F10" w:rsidRDefault="00727933" w:rsidP="008A71CE">
      <w:pPr>
        <w:spacing w:after="0"/>
        <w:rPr>
          <w:rFonts w:asciiTheme="majorHAnsi" w:hAnsiTheme="majorHAnsi"/>
          <w:w w:val="105"/>
          <w:sz w:val="21"/>
        </w:rPr>
      </w:pPr>
    </w:p>
    <w:p w:rsidR="00727933" w:rsidRPr="00761F10" w:rsidRDefault="00727933" w:rsidP="00AD44B7">
      <w:pPr>
        <w:spacing w:after="0"/>
        <w:ind w:left="720"/>
        <w:rPr>
          <w:rFonts w:asciiTheme="majorHAnsi" w:hAnsiTheme="majorHAnsi"/>
          <w:w w:val="105"/>
          <w:sz w:val="21"/>
        </w:rPr>
      </w:pPr>
      <w:r w:rsidRPr="00761F10">
        <w:rPr>
          <w:rFonts w:asciiTheme="majorHAnsi" w:hAnsiTheme="majorHAnsi"/>
          <w:w w:val="105"/>
          <w:sz w:val="21"/>
        </w:rPr>
        <w:t>Is hereby amended to include reference to additional appendices in Section 3:</w:t>
      </w:r>
    </w:p>
    <w:p w:rsidR="00727933" w:rsidRPr="00761F10" w:rsidRDefault="00727933" w:rsidP="00AD44B7">
      <w:pPr>
        <w:spacing w:after="0"/>
        <w:ind w:left="720"/>
        <w:rPr>
          <w:rFonts w:asciiTheme="majorHAnsi" w:hAnsiTheme="majorHAnsi"/>
          <w:w w:val="105"/>
          <w:sz w:val="21"/>
        </w:rPr>
      </w:pPr>
    </w:p>
    <w:p w:rsidR="00727933" w:rsidRPr="00761F10" w:rsidRDefault="00727933" w:rsidP="00727933">
      <w:pPr>
        <w:spacing w:after="0"/>
        <w:ind w:left="1440"/>
        <w:rPr>
          <w:rFonts w:asciiTheme="majorHAnsi" w:hAnsiTheme="majorHAnsi"/>
          <w:w w:val="105"/>
          <w:sz w:val="21"/>
        </w:rPr>
      </w:pPr>
      <w:r w:rsidRPr="00761F10">
        <w:rPr>
          <w:rFonts w:asciiTheme="majorHAnsi" w:hAnsiTheme="majorHAnsi"/>
          <w:w w:val="105"/>
          <w:sz w:val="21"/>
        </w:rPr>
        <w:t xml:space="preserve">2) successful completion and demonstration of competency/qualification for the next level.  Competency standards are defined by management in specified qual plans for the specific classification, and summarized in Appendices B, C, D, E, </w:t>
      </w:r>
      <w:r w:rsidR="001F6F1D" w:rsidRPr="00761F10">
        <w:rPr>
          <w:rFonts w:asciiTheme="majorHAnsi" w:hAnsiTheme="majorHAnsi"/>
          <w:w w:val="105"/>
          <w:sz w:val="21"/>
        </w:rPr>
        <w:t xml:space="preserve">and </w:t>
      </w:r>
      <w:r w:rsidR="00F36020" w:rsidRPr="00761F10">
        <w:rPr>
          <w:rFonts w:asciiTheme="majorHAnsi" w:hAnsiTheme="majorHAnsi"/>
          <w:w w:val="105"/>
          <w:sz w:val="21"/>
        </w:rPr>
        <w:t xml:space="preserve">F </w:t>
      </w:r>
      <w:r w:rsidRPr="00761F10">
        <w:rPr>
          <w:rFonts w:asciiTheme="majorHAnsi" w:hAnsiTheme="majorHAnsi"/>
          <w:w w:val="105"/>
          <w:sz w:val="21"/>
        </w:rPr>
        <w:t>of this Agreement.</w:t>
      </w:r>
    </w:p>
    <w:p w:rsidR="00AD44B7" w:rsidRPr="00761F10" w:rsidRDefault="00AD44B7" w:rsidP="00AD44B7">
      <w:pPr>
        <w:spacing w:after="0"/>
        <w:ind w:left="720"/>
        <w:rPr>
          <w:rFonts w:asciiTheme="majorHAnsi" w:hAnsiTheme="majorHAnsi"/>
          <w:w w:val="105"/>
          <w:sz w:val="21"/>
        </w:rPr>
      </w:pPr>
    </w:p>
    <w:p w:rsidR="00AD44B7" w:rsidRPr="00761F10" w:rsidRDefault="00AD44B7" w:rsidP="00970DD2">
      <w:pPr>
        <w:spacing w:after="0"/>
        <w:rPr>
          <w:rFonts w:asciiTheme="majorHAnsi" w:hAnsiTheme="majorHAnsi"/>
          <w:w w:val="105"/>
          <w:sz w:val="21"/>
        </w:rPr>
      </w:pPr>
      <w:r w:rsidRPr="00761F10">
        <w:rPr>
          <w:rFonts w:asciiTheme="majorHAnsi" w:hAnsiTheme="majorHAnsi"/>
          <w:w w:val="105"/>
          <w:sz w:val="21"/>
        </w:rPr>
        <w:t>Appendix A – Annual Wage Schedule</w:t>
      </w:r>
    </w:p>
    <w:p w:rsidR="00587C57" w:rsidRPr="00761F10" w:rsidRDefault="00AD44B7" w:rsidP="00E1469D">
      <w:pPr>
        <w:spacing w:after="0"/>
        <w:ind w:left="720"/>
        <w:rPr>
          <w:rFonts w:asciiTheme="majorHAnsi" w:hAnsiTheme="majorHAnsi"/>
          <w:w w:val="105"/>
          <w:sz w:val="21"/>
        </w:rPr>
      </w:pPr>
      <w:r w:rsidRPr="00761F10">
        <w:rPr>
          <w:rFonts w:asciiTheme="majorHAnsi" w:hAnsiTheme="majorHAnsi"/>
          <w:w w:val="105"/>
          <w:sz w:val="21"/>
        </w:rPr>
        <w:t xml:space="preserve">Is hereby amended to include the addition of the </w:t>
      </w:r>
      <w:r w:rsidR="00587C57" w:rsidRPr="00761F10">
        <w:rPr>
          <w:rFonts w:asciiTheme="majorHAnsi" w:hAnsiTheme="majorHAnsi"/>
          <w:w w:val="105"/>
          <w:sz w:val="21"/>
        </w:rPr>
        <w:t>newly added classifications to the P&amp;T Unit with the following annual wage rates</w:t>
      </w:r>
      <w:r w:rsidR="00E1469D" w:rsidRPr="00761F10">
        <w:rPr>
          <w:rFonts w:asciiTheme="majorHAnsi" w:hAnsiTheme="majorHAnsi"/>
          <w:w w:val="105"/>
          <w:sz w:val="21"/>
        </w:rPr>
        <w:t>:</w:t>
      </w:r>
    </w:p>
    <w:p w:rsidR="00587C57" w:rsidRPr="00761F10" w:rsidRDefault="00587C57" w:rsidP="00D04261">
      <w:pPr>
        <w:spacing w:after="0"/>
        <w:rPr>
          <w:rFonts w:asciiTheme="majorHAnsi" w:hAnsiTheme="majorHAnsi"/>
          <w:w w:val="105"/>
          <w:sz w:val="21"/>
        </w:rPr>
      </w:pPr>
    </w:p>
    <w:tbl>
      <w:tblPr>
        <w:tblStyle w:val="TableGrid"/>
        <w:tblW w:w="6475" w:type="dxa"/>
        <w:tblInd w:w="720" w:type="dxa"/>
        <w:tblLook w:val="04A0" w:firstRow="1" w:lastRow="0" w:firstColumn="1" w:lastColumn="0" w:noHBand="0" w:noVBand="1"/>
      </w:tblPr>
      <w:tblGrid>
        <w:gridCol w:w="2155"/>
        <w:gridCol w:w="2160"/>
        <w:gridCol w:w="2160"/>
      </w:tblGrid>
      <w:tr w:rsidR="00761F10" w:rsidRPr="00761F10" w:rsidTr="007B5DB7">
        <w:trPr>
          <w:trHeight w:val="300"/>
        </w:trPr>
        <w:tc>
          <w:tcPr>
            <w:tcW w:w="2155"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 </w:t>
            </w:r>
          </w:p>
        </w:tc>
        <w:tc>
          <w:tcPr>
            <w:tcW w:w="2160" w:type="dxa"/>
            <w:noWrap/>
            <w:hideMark/>
          </w:tcPr>
          <w:p w:rsidR="007B5DB7" w:rsidRPr="00761F10" w:rsidRDefault="007B5DB7" w:rsidP="00D04261">
            <w:pPr>
              <w:jc w:val="center"/>
              <w:rPr>
                <w:rFonts w:ascii="Calibri" w:eastAsia="Times New Roman" w:hAnsi="Calibri" w:cs="Times New Roman"/>
              </w:rPr>
            </w:pPr>
            <w:r w:rsidRPr="00761F10">
              <w:rPr>
                <w:rFonts w:ascii="Calibri" w:eastAsia="Times New Roman" w:hAnsi="Calibri" w:cs="Times New Roman"/>
              </w:rPr>
              <w:t>2020</w:t>
            </w:r>
          </w:p>
        </w:tc>
        <w:tc>
          <w:tcPr>
            <w:tcW w:w="2160" w:type="dxa"/>
            <w:noWrap/>
            <w:hideMark/>
          </w:tcPr>
          <w:p w:rsidR="007B5DB7" w:rsidRPr="00761F10" w:rsidRDefault="007B5DB7" w:rsidP="00D04261">
            <w:pPr>
              <w:jc w:val="center"/>
              <w:rPr>
                <w:rFonts w:ascii="Calibri" w:eastAsia="Times New Roman" w:hAnsi="Calibri" w:cs="Times New Roman"/>
              </w:rPr>
            </w:pPr>
            <w:r w:rsidRPr="00761F10">
              <w:rPr>
                <w:rFonts w:ascii="Calibri" w:eastAsia="Times New Roman" w:hAnsi="Calibri" w:cs="Times New Roman"/>
              </w:rPr>
              <w:t>2021</w:t>
            </w:r>
          </w:p>
        </w:tc>
      </w:tr>
      <w:tr w:rsidR="00761F10" w:rsidRPr="00761F10" w:rsidTr="007B5DB7">
        <w:trPr>
          <w:trHeight w:val="300"/>
        </w:trPr>
        <w:tc>
          <w:tcPr>
            <w:tcW w:w="2155"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IH Respirator Tech</w:t>
            </w:r>
          </w:p>
        </w:tc>
        <w:tc>
          <w:tcPr>
            <w:tcW w:w="2160" w:type="dxa"/>
            <w:noWrap/>
            <w:hideMark/>
          </w:tcPr>
          <w:p w:rsidR="007B5DB7" w:rsidRPr="00761F10" w:rsidRDefault="007B5DB7" w:rsidP="007B5DB7">
            <w:pPr>
              <w:jc w:val="center"/>
              <w:rPr>
                <w:rFonts w:ascii="Calibri" w:eastAsia="Times New Roman" w:hAnsi="Calibri" w:cs="Times New Roman"/>
              </w:rPr>
            </w:pPr>
            <w:r w:rsidRPr="00761F10">
              <w:rPr>
                <w:rFonts w:ascii="Calibri" w:eastAsia="Times New Roman" w:hAnsi="Calibri" w:cs="Times New Roman"/>
              </w:rPr>
              <w:t>$47,424.00</w:t>
            </w:r>
          </w:p>
        </w:tc>
        <w:tc>
          <w:tcPr>
            <w:tcW w:w="2160" w:type="dxa"/>
            <w:noWrap/>
            <w:hideMark/>
          </w:tcPr>
          <w:p w:rsidR="007B5DB7" w:rsidRPr="00761F10" w:rsidRDefault="007B5DB7" w:rsidP="007B5DB7">
            <w:pPr>
              <w:jc w:val="center"/>
              <w:rPr>
                <w:rFonts w:ascii="Calibri" w:eastAsia="Times New Roman" w:hAnsi="Calibri" w:cs="Times New Roman"/>
              </w:rPr>
            </w:pPr>
            <w:r w:rsidRPr="00761F10">
              <w:rPr>
                <w:rFonts w:ascii="Calibri" w:eastAsia="Times New Roman" w:hAnsi="Calibri" w:cs="Times New Roman"/>
              </w:rPr>
              <w:t>$48,491.04</w:t>
            </w:r>
          </w:p>
        </w:tc>
      </w:tr>
      <w:tr w:rsidR="00761F10" w:rsidRPr="00761F10" w:rsidTr="007B5DB7">
        <w:trPr>
          <w:trHeight w:val="300"/>
        </w:trPr>
        <w:tc>
          <w:tcPr>
            <w:tcW w:w="2155"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IH Tech, Jr.</w:t>
            </w:r>
          </w:p>
        </w:tc>
        <w:tc>
          <w:tcPr>
            <w:tcW w:w="2160" w:type="dxa"/>
            <w:noWrap/>
            <w:hideMark/>
          </w:tcPr>
          <w:p w:rsidR="007B5DB7" w:rsidRPr="00761F10" w:rsidRDefault="007B5DB7" w:rsidP="00B61B06">
            <w:pPr>
              <w:jc w:val="center"/>
              <w:rPr>
                <w:rFonts w:ascii="Calibri" w:eastAsia="Times New Roman" w:hAnsi="Calibri" w:cs="Times New Roman"/>
                <w:highlight w:val="yellow"/>
              </w:rPr>
            </w:pPr>
            <w:r w:rsidRPr="00761F10">
              <w:rPr>
                <w:rFonts w:ascii="Calibri" w:eastAsia="Times New Roman" w:hAnsi="Calibri" w:cs="Times New Roman"/>
              </w:rPr>
              <w:t>$</w:t>
            </w:r>
            <w:r w:rsidR="00B61B06" w:rsidRPr="00761F10">
              <w:rPr>
                <w:rFonts w:ascii="Calibri" w:eastAsia="Times New Roman" w:hAnsi="Calibri" w:cs="Times New Roman"/>
              </w:rPr>
              <w:t>52,187.20</w:t>
            </w:r>
          </w:p>
        </w:tc>
        <w:tc>
          <w:tcPr>
            <w:tcW w:w="2160" w:type="dxa"/>
            <w:noWrap/>
            <w:hideMark/>
          </w:tcPr>
          <w:p w:rsidR="007B5DB7" w:rsidRPr="00761F10" w:rsidRDefault="00B61B06" w:rsidP="00C839A5">
            <w:pPr>
              <w:jc w:val="center"/>
              <w:rPr>
                <w:rFonts w:ascii="Calibri" w:eastAsia="Times New Roman" w:hAnsi="Calibri" w:cs="Times New Roman"/>
                <w:highlight w:val="yellow"/>
              </w:rPr>
            </w:pPr>
            <w:r w:rsidRPr="00761F10">
              <w:rPr>
                <w:rFonts w:ascii="Calibri" w:eastAsia="Times New Roman" w:hAnsi="Calibri" w:cs="Times New Roman"/>
              </w:rPr>
              <w:t xml:space="preserve"> $53,362.40</w:t>
            </w:r>
          </w:p>
        </w:tc>
      </w:tr>
      <w:tr w:rsidR="00761F10" w:rsidRPr="00761F10" w:rsidTr="007B5DB7">
        <w:trPr>
          <w:trHeight w:val="300"/>
        </w:trPr>
        <w:tc>
          <w:tcPr>
            <w:tcW w:w="2155"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IH Tech, Sr.</w:t>
            </w:r>
          </w:p>
        </w:tc>
        <w:tc>
          <w:tcPr>
            <w:tcW w:w="2160" w:type="dxa"/>
            <w:noWrap/>
            <w:hideMark/>
          </w:tcPr>
          <w:p w:rsidR="007B5DB7" w:rsidRPr="00761F10" w:rsidRDefault="007B5DB7" w:rsidP="00B61B06">
            <w:pPr>
              <w:jc w:val="center"/>
              <w:rPr>
                <w:rFonts w:ascii="Calibri" w:eastAsia="Times New Roman" w:hAnsi="Calibri" w:cs="Times New Roman"/>
                <w:highlight w:val="yellow"/>
              </w:rPr>
            </w:pPr>
            <w:r w:rsidRPr="00761F10">
              <w:rPr>
                <w:rFonts w:ascii="Calibri" w:eastAsia="Times New Roman" w:hAnsi="Calibri" w:cs="Times New Roman"/>
              </w:rPr>
              <w:t>$</w:t>
            </w:r>
            <w:r w:rsidR="00B61B06" w:rsidRPr="00761F10">
              <w:rPr>
                <w:rFonts w:ascii="Calibri" w:eastAsia="Times New Roman" w:hAnsi="Calibri" w:cs="Times New Roman"/>
              </w:rPr>
              <w:t>58,323.20</w:t>
            </w:r>
          </w:p>
        </w:tc>
        <w:tc>
          <w:tcPr>
            <w:tcW w:w="2160" w:type="dxa"/>
            <w:noWrap/>
            <w:hideMark/>
          </w:tcPr>
          <w:p w:rsidR="00B61B06" w:rsidRPr="00761F10" w:rsidRDefault="00B61B06" w:rsidP="00B61B06">
            <w:pPr>
              <w:jc w:val="center"/>
              <w:rPr>
                <w:rFonts w:ascii="Calibri" w:eastAsia="Times New Roman" w:hAnsi="Calibri" w:cs="Times New Roman"/>
                <w:highlight w:val="yellow"/>
              </w:rPr>
            </w:pPr>
            <w:r w:rsidRPr="00761F10">
              <w:rPr>
                <w:rFonts w:ascii="Calibri" w:eastAsia="Times New Roman" w:hAnsi="Calibri" w:cs="Times New Roman"/>
              </w:rPr>
              <w:t>$59,635.68</w:t>
            </w:r>
          </w:p>
        </w:tc>
      </w:tr>
      <w:tr w:rsidR="00761F10" w:rsidRPr="00761F10" w:rsidTr="007B5DB7">
        <w:trPr>
          <w:trHeight w:val="300"/>
        </w:trPr>
        <w:tc>
          <w:tcPr>
            <w:tcW w:w="2155"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IH Tech, Lead</w:t>
            </w:r>
          </w:p>
        </w:tc>
        <w:tc>
          <w:tcPr>
            <w:tcW w:w="2160" w:type="dxa"/>
            <w:noWrap/>
            <w:hideMark/>
          </w:tcPr>
          <w:p w:rsidR="007B5DB7" w:rsidRPr="00761F10" w:rsidRDefault="00B61B06" w:rsidP="00C839A5">
            <w:pPr>
              <w:jc w:val="center"/>
              <w:rPr>
                <w:rFonts w:ascii="Calibri" w:eastAsia="Times New Roman" w:hAnsi="Calibri" w:cs="Times New Roman"/>
                <w:highlight w:val="yellow"/>
              </w:rPr>
            </w:pPr>
            <w:r w:rsidRPr="00761F10">
              <w:rPr>
                <w:rFonts w:ascii="Calibri" w:eastAsia="Times New Roman" w:hAnsi="Calibri" w:cs="Times New Roman"/>
              </w:rPr>
              <w:t>$64,459.20</w:t>
            </w:r>
          </w:p>
        </w:tc>
        <w:tc>
          <w:tcPr>
            <w:tcW w:w="2160" w:type="dxa"/>
            <w:noWrap/>
            <w:hideMark/>
          </w:tcPr>
          <w:p w:rsidR="007B5DB7" w:rsidRPr="00761F10" w:rsidRDefault="00B61B06" w:rsidP="00C839A5">
            <w:pPr>
              <w:jc w:val="center"/>
              <w:rPr>
                <w:rFonts w:ascii="Calibri" w:eastAsia="Times New Roman" w:hAnsi="Calibri" w:cs="Times New Roman"/>
                <w:highlight w:val="yellow"/>
              </w:rPr>
            </w:pPr>
            <w:r w:rsidRPr="00761F10">
              <w:rPr>
                <w:rFonts w:ascii="Calibri" w:eastAsia="Times New Roman" w:hAnsi="Calibri" w:cs="Times New Roman"/>
              </w:rPr>
              <w:t>$65,908.96</w:t>
            </w:r>
          </w:p>
        </w:tc>
      </w:tr>
      <w:tr w:rsidR="007B5DB7" w:rsidRPr="00761F10" w:rsidTr="007B5DB7">
        <w:trPr>
          <w:trHeight w:val="315"/>
        </w:trPr>
        <w:tc>
          <w:tcPr>
            <w:tcW w:w="2155"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ESHQ Technologist</w:t>
            </w:r>
          </w:p>
        </w:tc>
        <w:tc>
          <w:tcPr>
            <w:tcW w:w="2160" w:type="dxa"/>
            <w:noWrap/>
            <w:hideMark/>
          </w:tcPr>
          <w:p w:rsidR="007B5DB7" w:rsidRPr="00761F10" w:rsidRDefault="00761F10" w:rsidP="00C839A5">
            <w:pPr>
              <w:jc w:val="center"/>
              <w:rPr>
                <w:rFonts w:ascii="Calibri" w:eastAsia="Times New Roman" w:hAnsi="Calibri" w:cs="Times New Roman"/>
                <w:strike/>
              </w:rPr>
            </w:pPr>
            <w:r w:rsidRPr="00761F10">
              <w:rPr>
                <w:rFonts w:ascii="Calibri" w:eastAsia="Times New Roman" w:hAnsi="Calibri" w:cs="Times New Roman"/>
                <w:strike/>
              </w:rPr>
              <w:t>-</w:t>
            </w:r>
          </w:p>
        </w:tc>
        <w:tc>
          <w:tcPr>
            <w:tcW w:w="2160" w:type="dxa"/>
            <w:noWrap/>
            <w:hideMark/>
          </w:tcPr>
          <w:p w:rsidR="007B5DB7" w:rsidRPr="00761F10" w:rsidRDefault="00761F10" w:rsidP="00C839A5">
            <w:pPr>
              <w:jc w:val="center"/>
              <w:rPr>
                <w:rFonts w:ascii="Calibri" w:eastAsia="Times New Roman" w:hAnsi="Calibri" w:cs="Times New Roman"/>
                <w:strike/>
              </w:rPr>
            </w:pPr>
            <w:r w:rsidRPr="00761F10">
              <w:rPr>
                <w:rFonts w:ascii="Calibri" w:eastAsia="Times New Roman" w:hAnsi="Calibri" w:cs="Times New Roman"/>
                <w:strike/>
              </w:rPr>
              <w:t>-</w:t>
            </w:r>
          </w:p>
        </w:tc>
      </w:tr>
    </w:tbl>
    <w:p w:rsidR="00587C57" w:rsidRPr="00761F10" w:rsidRDefault="00587C57" w:rsidP="00587C57">
      <w:pPr>
        <w:spacing w:after="0"/>
        <w:rPr>
          <w:rFonts w:asciiTheme="majorHAnsi" w:hAnsiTheme="majorHAnsi"/>
          <w:w w:val="105"/>
          <w:sz w:val="21"/>
        </w:rPr>
      </w:pPr>
    </w:p>
    <w:p w:rsidR="00587C57" w:rsidRPr="00761F10" w:rsidRDefault="00587C57" w:rsidP="00925BF0">
      <w:pPr>
        <w:spacing w:after="0"/>
        <w:ind w:left="720"/>
        <w:rPr>
          <w:rFonts w:asciiTheme="majorHAnsi" w:hAnsiTheme="majorHAnsi"/>
          <w:w w:val="105"/>
          <w:sz w:val="21"/>
        </w:rPr>
      </w:pPr>
      <w:r w:rsidRPr="00761F10">
        <w:rPr>
          <w:rFonts w:asciiTheme="majorHAnsi" w:hAnsiTheme="majorHAnsi"/>
          <w:w w:val="105"/>
          <w:sz w:val="21"/>
        </w:rPr>
        <w:t>Is hereby amended to include the addition of the newly added classifications to the P&amp;T Unit with the following hourly rate schedule.</w:t>
      </w:r>
    </w:p>
    <w:p w:rsidR="00587C57" w:rsidRPr="00761F10" w:rsidRDefault="00587C57" w:rsidP="00D04261">
      <w:pPr>
        <w:spacing w:after="0"/>
        <w:rPr>
          <w:rFonts w:asciiTheme="majorHAnsi" w:hAnsiTheme="majorHAnsi"/>
          <w:w w:val="105"/>
          <w:sz w:val="21"/>
        </w:rPr>
      </w:pPr>
    </w:p>
    <w:tbl>
      <w:tblPr>
        <w:tblStyle w:val="TableGrid"/>
        <w:tblW w:w="0" w:type="auto"/>
        <w:tblInd w:w="720" w:type="dxa"/>
        <w:tblLook w:val="04A0" w:firstRow="1" w:lastRow="0" w:firstColumn="1" w:lastColumn="0" w:noHBand="0" w:noVBand="1"/>
      </w:tblPr>
      <w:tblGrid>
        <w:gridCol w:w="2157"/>
        <w:gridCol w:w="2158"/>
        <w:gridCol w:w="2158"/>
      </w:tblGrid>
      <w:tr w:rsidR="00761F10" w:rsidRPr="00761F10" w:rsidTr="00D04261">
        <w:tc>
          <w:tcPr>
            <w:tcW w:w="2157" w:type="dxa"/>
          </w:tcPr>
          <w:p w:rsidR="007B5DB7" w:rsidRPr="00761F10" w:rsidRDefault="007B5DB7" w:rsidP="00587C57">
            <w:pPr>
              <w:rPr>
                <w:rFonts w:asciiTheme="majorHAnsi" w:hAnsiTheme="majorHAnsi"/>
                <w:w w:val="105"/>
                <w:sz w:val="21"/>
              </w:rPr>
            </w:pPr>
          </w:p>
        </w:tc>
        <w:tc>
          <w:tcPr>
            <w:tcW w:w="2158" w:type="dxa"/>
          </w:tcPr>
          <w:p w:rsidR="007B5DB7" w:rsidRPr="00761F10" w:rsidRDefault="007B5DB7" w:rsidP="00D04261">
            <w:pPr>
              <w:jc w:val="center"/>
              <w:rPr>
                <w:rFonts w:asciiTheme="majorHAnsi" w:hAnsiTheme="majorHAnsi"/>
                <w:w w:val="105"/>
                <w:sz w:val="21"/>
              </w:rPr>
            </w:pPr>
            <w:r w:rsidRPr="00761F10">
              <w:rPr>
                <w:rFonts w:asciiTheme="majorHAnsi" w:hAnsiTheme="majorHAnsi"/>
                <w:w w:val="105"/>
                <w:sz w:val="21"/>
              </w:rPr>
              <w:t>2020</w:t>
            </w:r>
          </w:p>
        </w:tc>
        <w:tc>
          <w:tcPr>
            <w:tcW w:w="2158" w:type="dxa"/>
          </w:tcPr>
          <w:p w:rsidR="007B5DB7" w:rsidRPr="00761F10" w:rsidRDefault="007B5DB7" w:rsidP="00D04261">
            <w:pPr>
              <w:jc w:val="center"/>
              <w:rPr>
                <w:rFonts w:asciiTheme="majorHAnsi" w:hAnsiTheme="majorHAnsi"/>
                <w:w w:val="105"/>
                <w:sz w:val="21"/>
              </w:rPr>
            </w:pPr>
            <w:r w:rsidRPr="00761F10">
              <w:rPr>
                <w:rFonts w:asciiTheme="majorHAnsi" w:hAnsiTheme="majorHAnsi"/>
                <w:w w:val="105"/>
                <w:sz w:val="21"/>
              </w:rPr>
              <w:t>2021</w:t>
            </w:r>
          </w:p>
        </w:tc>
      </w:tr>
      <w:tr w:rsidR="00761F10" w:rsidRPr="00761F10" w:rsidTr="00D04261">
        <w:trPr>
          <w:trHeight w:val="300"/>
        </w:trPr>
        <w:tc>
          <w:tcPr>
            <w:tcW w:w="2157"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IH Respirator Tech</w:t>
            </w:r>
          </w:p>
        </w:tc>
        <w:tc>
          <w:tcPr>
            <w:tcW w:w="2158" w:type="dxa"/>
            <w:noWrap/>
            <w:hideMark/>
          </w:tcPr>
          <w:p w:rsidR="007B5DB7" w:rsidRPr="00761F10" w:rsidRDefault="007B5DB7" w:rsidP="00C839A5">
            <w:pPr>
              <w:jc w:val="center"/>
              <w:rPr>
                <w:rFonts w:ascii="Calibri" w:eastAsia="Times New Roman" w:hAnsi="Calibri" w:cs="Times New Roman"/>
              </w:rPr>
            </w:pPr>
            <w:r w:rsidRPr="00761F10">
              <w:rPr>
                <w:rFonts w:ascii="Calibri" w:eastAsia="Times New Roman" w:hAnsi="Calibri" w:cs="Times New Roman"/>
              </w:rPr>
              <w:t>$22.80</w:t>
            </w:r>
          </w:p>
        </w:tc>
        <w:tc>
          <w:tcPr>
            <w:tcW w:w="2158" w:type="dxa"/>
            <w:noWrap/>
            <w:hideMark/>
          </w:tcPr>
          <w:p w:rsidR="007B5DB7" w:rsidRPr="00761F10" w:rsidRDefault="007B5DB7" w:rsidP="00C839A5">
            <w:pPr>
              <w:jc w:val="center"/>
              <w:rPr>
                <w:rFonts w:ascii="Calibri" w:eastAsia="Times New Roman" w:hAnsi="Calibri" w:cs="Times New Roman"/>
              </w:rPr>
            </w:pPr>
            <w:r w:rsidRPr="00761F10">
              <w:rPr>
                <w:rFonts w:ascii="Calibri" w:eastAsia="Times New Roman" w:hAnsi="Calibri" w:cs="Times New Roman"/>
              </w:rPr>
              <w:t>$23.313</w:t>
            </w:r>
          </w:p>
        </w:tc>
      </w:tr>
      <w:tr w:rsidR="00761F10" w:rsidRPr="00761F10" w:rsidTr="00D04261">
        <w:trPr>
          <w:trHeight w:val="300"/>
        </w:trPr>
        <w:tc>
          <w:tcPr>
            <w:tcW w:w="2157"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IH Tech, Jr.</w:t>
            </w:r>
          </w:p>
        </w:tc>
        <w:tc>
          <w:tcPr>
            <w:tcW w:w="2158" w:type="dxa"/>
            <w:noWrap/>
            <w:hideMark/>
          </w:tcPr>
          <w:p w:rsidR="007B5DB7" w:rsidRPr="00761F10" w:rsidRDefault="007B5DB7" w:rsidP="00C839A5">
            <w:pPr>
              <w:jc w:val="center"/>
              <w:rPr>
                <w:rFonts w:ascii="Calibri" w:eastAsia="Times New Roman" w:hAnsi="Calibri" w:cs="Times New Roman"/>
              </w:rPr>
            </w:pPr>
            <w:r w:rsidRPr="00761F10">
              <w:rPr>
                <w:rFonts w:ascii="Calibri" w:eastAsia="Times New Roman" w:hAnsi="Calibri" w:cs="Times New Roman"/>
              </w:rPr>
              <w:t>$25.09</w:t>
            </w:r>
          </w:p>
        </w:tc>
        <w:tc>
          <w:tcPr>
            <w:tcW w:w="2158" w:type="dxa"/>
            <w:noWrap/>
            <w:hideMark/>
          </w:tcPr>
          <w:p w:rsidR="007B5DB7" w:rsidRPr="00761F10" w:rsidRDefault="007B5DB7" w:rsidP="00C839A5">
            <w:pPr>
              <w:jc w:val="center"/>
              <w:rPr>
                <w:rFonts w:ascii="Calibri" w:eastAsia="Times New Roman" w:hAnsi="Calibri" w:cs="Times New Roman"/>
              </w:rPr>
            </w:pPr>
            <w:r w:rsidRPr="00761F10">
              <w:rPr>
                <w:rFonts w:ascii="Calibri" w:eastAsia="Times New Roman" w:hAnsi="Calibri" w:cs="Times New Roman"/>
              </w:rPr>
              <w:t>$25.655</w:t>
            </w:r>
          </w:p>
        </w:tc>
      </w:tr>
      <w:tr w:rsidR="00761F10" w:rsidRPr="00761F10" w:rsidTr="00D04261">
        <w:trPr>
          <w:trHeight w:val="300"/>
        </w:trPr>
        <w:tc>
          <w:tcPr>
            <w:tcW w:w="2157"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IH Tech, Sr.</w:t>
            </w:r>
          </w:p>
        </w:tc>
        <w:tc>
          <w:tcPr>
            <w:tcW w:w="2158" w:type="dxa"/>
            <w:noWrap/>
            <w:hideMark/>
          </w:tcPr>
          <w:p w:rsidR="007B5DB7" w:rsidRPr="00761F10" w:rsidRDefault="007B5DB7" w:rsidP="007B5DB7">
            <w:pPr>
              <w:jc w:val="center"/>
              <w:rPr>
                <w:rFonts w:ascii="Calibri" w:eastAsia="Times New Roman" w:hAnsi="Calibri" w:cs="Times New Roman"/>
              </w:rPr>
            </w:pPr>
            <w:r w:rsidRPr="00761F10">
              <w:rPr>
                <w:rFonts w:ascii="Calibri" w:eastAsia="Times New Roman" w:hAnsi="Calibri" w:cs="Times New Roman"/>
              </w:rPr>
              <w:t>$28.04</w:t>
            </w:r>
          </w:p>
        </w:tc>
        <w:tc>
          <w:tcPr>
            <w:tcW w:w="2158" w:type="dxa"/>
            <w:noWrap/>
            <w:hideMark/>
          </w:tcPr>
          <w:p w:rsidR="007B5DB7" w:rsidRPr="00761F10" w:rsidRDefault="007B5DB7" w:rsidP="00D04261">
            <w:pPr>
              <w:jc w:val="center"/>
              <w:rPr>
                <w:rFonts w:ascii="Calibri" w:eastAsia="Times New Roman" w:hAnsi="Calibri" w:cs="Times New Roman"/>
              </w:rPr>
            </w:pPr>
            <w:r w:rsidRPr="00761F10">
              <w:rPr>
                <w:rFonts w:ascii="Calibri" w:eastAsia="Times New Roman" w:hAnsi="Calibri" w:cs="Times New Roman"/>
              </w:rPr>
              <w:t>$28.671</w:t>
            </w:r>
          </w:p>
        </w:tc>
      </w:tr>
      <w:tr w:rsidR="00761F10" w:rsidRPr="00761F10" w:rsidTr="00D04261">
        <w:trPr>
          <w:trHeight w:val="300"/>
        </w:trPr>
        <w:tc>
          <w:tcPr>
            <w:tcW w:w="2157"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IH Tech, Lead</w:t>
            </w:r>
          </w:p>
        </w:tc>
        <w:tc>
          <w:tcPr>
            <w:tcW w:w="2158" w:type="dxa"/>
            <w:noWrap/>
            <w:hideMark/>
          </w:tcPr>
          <w:p w:rsidR="007B5DB7" w:rsidRPr="00761F10" w:rsidRDefault="007B5DB7" w:rsidP="007B5DB7">
            <w:pPr>
              <w:jc w:val="center"/>
              <w:rPr>
                <w:rFonts w:ascii="Calibri" w:eastAsia="Times New Roman" w:hAnsi="Calibri" w:cs="Times New Roman"/>
              </w:rPr>
            </w:pPr>
            <w:r w:rsidRPr="00761F10">
              <w:rPr>
                <w:rFonts w:ascii="Calibri" w:eastAsia="Times New Roman" w:hAnsi="Calibri" w:cs="Times New Roman"/>
              </w:rPr>
              <w:t>$30.99</w:t>
            </w:r>
          </w:p>
        </w:tc>
        <w:tc>
          <w:tcPr>
            <w:tcW w:w="2158" w:type="dxa"/>
            <w:noWrap/>
            <w:hideMark/>
          </w:tcPr>
          <w:p w:rsidR="007B5DB7" w:rsidRPr="00761F10" w:rsidRDefault="007B5DB7" w:rsidP="00D04261">
            <w:pPr>
              <w:jc w:val="center"/>
              <w:rPr>
                <w:rFonts w:ascii="Calibri" w:eastAsia="Times New Roman" w:hAnsi="Calibri" w:cs="Times New Roman"/>
              </w:rPr>
            </w:pPr>
            <w:r w:rsidRPr="00761F10">
              <w:rPr>
                <w:rFonts w:ascii="Calibri" w:eastAsia="Times New Roman" w:hAnsi="Calibri" w:cs="Times New Roman"/>
              </w:rPr>
              <w:t>$31.687</w:t>
            </w:r>
          </w:p>
        </w:tc>
      </w:tr>
      <w:tr w:rsidR="007B5DB7" w:rsidRPr="00761F10" w:rsidTr="00D04261">
        <w:trPr>
          <w:trHeight w:val="300"/>
        </w:trPr>
        <w:tc>
          <w:tcPr>
            <w:tcW w:w="2157" w:type="dxa"/>
            <w:noWrap/>
            <w:hideMark/>
          </w:tcPr>
          <w:p w:rsidR="007B5DB7" w:rsidRPr="00761F10" w:rsidRDefault="007B5DB7" w:rsidP="00D04261">
            <w:pPr>
              <w:rPr>
                <w:rFonts w:ascii="Calibri" w:eastAsia="Times New Roman" w:hAnsi="Calibri" w:cs="Times New Roman"/>
              </w:rPr>
            </w:pPr>
            <w:r w:rsidRPr="00761F10">
              <w:rPr>
                <w:rFonts w:ascii="Calibri" w:eastAsia="Times New Roman" w:hAnsi="Calibri" w:cs="Times New Roman"/>
              </w:rPr>
              <w:t>ESHQ Technologist</w:t>
            </w:r>
          </w:p>
        </w:tc>
        <w:tc>
          <w:tcPr>
            <w:tcW w:w="2158" w:type="dxa"/>
            <w:noWrap/>
            <w:hideMark/>
          </w:tcPr>
          <w:p w:rsidR="007B5DB7" w:rsidRPr="00761F10" w:rsidRDefault="00761F10" w:rsidP="00D04261">
            <w:pPr>
              <w:jc w:val="center"/>
              <w:rPr>
                <w:rFonts w:ascii="Calibri" w:eastAsia="Times New Roman" w:hAnsi="Calibri" w:cs="Times New Roman"/>
                <w:strike/>
              </w:rPr>
            </w:pPr>
            <w:r w:rsidRPr="00761F10">
              <w:rPr>
                <w:rFonts w:ascii="Calibri" w:eastAsia="Times New Roman" w:hAnsi="Calibri" w:cs="Times New Roman"/>
                <w:strike/>
              </w:rPr>
              <w:t>-</w:t>
            </w:r>
          </w:p>
        </w:tc>
        <w:tc>
          <w:tcPr>
            <w:tcW w:w="2158" w:type="dxa"/>
            <w:noWrap/>
            <w:hideMark/>
          </w:tcPr>
          <w:p w:rsidR="007B5DB7" w:rsidRPr="00761F10" w:rsidRDefault="00761F10" w:rsidP="00D04261">
            <w:pPr>
              <w:jc w:val="center"/>
              <w:rPr>
                <w:rFonts w:ascii="Calibri" w:eastAsia="Times New Roman" w:hAnsi="Calibri" w:cs="Times New Roman"/>
                <w:strike/>
              </w:rPr>
            </w:pPr>
            <w:r w:rsidRPr="00761F10">
              <w:rPr>
                <w:rFonts w:ascii="Calibri" w:eastAsia="Times New Roman" w:hAnsi="Calibri" w:cs="Times New Roman"/>
                <w:strike/>
              </w:rPr>
              <w:t>-</w:t>
            </w:r>
          </w:p>
        </w:tc>
      </w:tr>
    </w:tbl>
    <w:p w:rsidR="00EE4198" w:rsidRPr="00761F10" w:rsidRDefault="00EE4198" w:rsidP="00587C57">
      <w:pPr>
        <w:spacing w:after="0"/>
        <w:rPr>
          <w:rFonts w:asciiTheme="majorHAnsi" w:hAnsiTheme="majorHAnsi"/>
          <w:w w:val="105"/>
          <w:sz w:val="21"/>
          <w:u w:val="single"/>
        </w:rPr>
      </w:pPr>
    </w:p>
    <w:p w:rsidR="00727933" w:rsidRPr="00761F10" w:rsidRDefault="00E309D9" w:rsidP="00587C57">
      <w:pPr>
        <w:spacing w:after="0"/>
        <w:rPr>
          <w:rFonts w:asciiTheme="majorHAnsi" w:hAnsiTheme="majorHAnsi"/>
          <w:w w:val="105"/>
          <w:sz w:val="21"/>
          <w:u w:val="single"/>
        </w:rPr>
      </w:pPr>
      <w:r w:rsidRPr="00761F10">
        <w:rPr>
          <w:rFonts w:asciiTheme="majorHAnsi" w:hAnsiTheme="majorHAnsi"/>
          <w:w w:val="105"/>
          <w:sz w:val="21"/>
          <w:u w:val="single"/>
        </w:rPr>
        <w:t>Article XV – Miscellaneous</w:t>
      </w:r>
    </w:p>
    <w:p w:rsidR="00E309D9" w:rsidRPr="00761F10" w:rsidRDefault="00E309D9" w:rsidP="00E309D9">
      <w:pPr>
        <w:spacing w:after="0"/>
        <w:ind w:left="720"/>
        <w:rPr>
          <w:rFonts w:asciiTheme="majorHAnsi" w:hAnsiTheme="majorHAnsi"/>
          <w:w w:val="105"/>
          <w:sz w:val="21"/>
        </w:rPr>
      </w:pPr>
      <w:r w:rsidRPr="00761F10">
        <w:rPr>
          <w:rFonts w:asciiTheme="majorHAnsi" w:hAnsiTheme="majorHAnsi"/>
          <w:w w:val="105"/>
          <w:sz w:val="21"/>
        </w:rPr>
        <w:t>Is hereby amended to include this additional clause in the last sentence in Section 6, providing for subcontracting within the newly organized expansion of the IH Group:</w:t>
      </w:r>
    </w:p>
    <w:p w:rsidR="00E309D9" w:rsidRPr="00761F10" w:rsidRDefault="00E309D9" w:rsidP="00E309D9">
      <w:pPr>
        <w:spacing w:after="0"/>
        <w:ind w:left="720"/>
        <w:rPr>
          <w:rFonts w:asciiTheme="majorHAnsi" w:hAnsiTheme="majorHAnsi"/>
          <w:w w:val="105"/>
          <w:sz w:val="21"/>
        </w:rPr>
      </w:pPr>
    </w:p>
    <w:p w:rsidR="00E309D9" w:rsidRPr="00761F10" w:rsidRDefault="00D04261" w:rsidP="00E309D9">
      <w:pPr>
        <w:spacing w:after="0"/>
        <w:ind w:left="720"/>
        <w:rPr>
          <w:rFonts w:asciiTheme="majorHAnsi" w:hAnsiTheme="majorHAnsi"/>
          <w:w w:val="105"/>
          <w:sz w:val="21"/>
        </w:rPr>
      </w:pPr>
      <w:r w:rsidRPr="00761F10">
        <w:rPr>
          <w:rFonts w:asciiTheme="majorHAnsi" w:hAnsiTheme="majorHAnsi"/>
          <w:w w:val="105"/>
          <w:sz w:val="21"/>
        </w:rPr>
        <w:t>…</w:t>
      </w:r>
      <w:r w:rsidR="00E309D9" w:rsidRPr="00761F10">
        <w:rPr>
          <w:rFonts w:asciiTheme="majorHAnsi" w:hAnsiTheme="majorHAnsi"/>
          <w:w w:val="105"/>
          <w:sz w:val="21"/>
        </w:rPr>
        <w:t>The Company agrees that the number of direct hire employees within each of the represented groups in the Professional and Technical Unit shall not drop below the number of FBP employees at the time of ratification</w:t>
      </w:r>
      <w:r w:rsidR="00EE4198" w:rsidRPr="00761F10">
        <w:rPr>
          <w:rFonts w:asciiTheme="majorHAnsi" w:hAnsiTheme="majorHAnsi"/>
          <w:w w:val="105"/>
          <w:sz w:val="21"/>
        </w:rPr>
        <w:t xml:space="preserve"> </w:t>
      </w:r>
      <w:r w:rsidR="008A71CE" w:rsidRPr="00761F10">
        <w:rPr>
          <w:rFonts w:asciiTheme="majorHAnsi" w:hAnsiTheme="majorHAnsi"/>
          <w:w w:val="105"/>
          <w:sz w:val="21"/>
        </w:rPr>
        <w:t xml:space="preserve">or </w:t>
      </w:r>
      <w:r w:rsidR="001F6F1D" w:rsidRPr="00761F10">
        <w:rPr>
          <w:rFonts w:asciiTheme="majorHAnsi" w:hAnsiTheme="majorHAnsi"/>
          <w:w w:val="105"/>
          <w:sz w:val="21"/>
        </w:rPr>
        <w:t xml:space="preserve">date of recognized </w:t>
      </w:r>
      <w:r w:rsidR="008A71CE" w:rsidRPr="00761F10">
        <w:rPr>
          <w:rFonts w:asciiTheme="majorHAnsi" w:hAnsiTheme="majorHAnsi"/>
          <w:w w:val="105"/>
          <w:sz w:val="21"/>
        </w:rPr>
        <w:t>accretion</w:t>
      </w:r>
      <w:r w:rsidR="00EE4198" w:rsidRPr="00761F10">
        <w:rPr>
          <w:rFonts w:asciiTheme="majorHAnsi" w:hAnsiTheme="majorHAnsi"/>
          <w:w w:val="105"/>
          <w:sz w:val="21"/>
        </w:rPr>
        <w:t xml:space="preserve"> </w:t>
      </w:r>
      <w:r w:rsidR="00E309D9" w:rsidRPr="00761F10">
        <w:rPr>
          <w:rFonts w:asciiTheme="majorHAnsi" w:hAnsiTheme="majorHAnsi"/>
          <w:w w:val="105"/>
          <w:sz w:val="21"/>
        </w:rPr>
        <w:t>as long as there are contract labor resources (CLR) employed within the respective groups.</w:t>
      </w:r>
    </w:p>
    <w:sectPr w:rsidR="00E309D9" w:rsidRPr="00761F10" w:rsidSect="006948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34" w:rsidRDefault="00803E34" w:rsidP="002B46B0">
      <w:pPr>
        <w:spacing w:after="0" w:line="240" w:lineRule="auto"/>
      </w:pPr>
      <w:r>
        <w:separator/>
      </w:r>
    </w:p>
  </w:endnote>
  <w:endnote w:type="continuationSeparator" w:id="0">
    <w:p w:rsidR="00803E34" w:rsidRDefault="00803E34" w:rsidP="002B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34" w:rsidRDefault="00803E34" w:rsidP="002B46B0">
      <w:pPr>
        <w:spacing w:after="0" w:line="240" w:lineRule="auto"/>
      </w:pPr>
      <w:r>
        <w:separator/>
      </w:r>
    </w:p>
  </w:footnote>
  <w:footnote w:type="continuationSeparator" w:id="0">
    <w:p w:rsidR="00803E34" w:rsidRDefault="00803E34" w:rsidP="002B4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769ED"/>
    <w:multiLevelType w:val="hybridMultilevel"/>
    <w:tmpl w:val="C0CE3CE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664CE"/>
    <w:multiLevelType w:val="hybridMultilevel"/>
    <w:tmpl w:val="E4BA4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405DFF"/>
    <w:multiLevelType w:val="hybridMultilevel"/>
    <w:tmpl w:val="8F704E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B0"/>
    <w:rsid w:val="00001183"/>
    <w:rsid w:val="00012789"/>
    <w:rsid w:val="00015F7F"/>
    <w:rsid w:val="00025915"/>
    <w:rsid w:val="00083A40"/>
    <w:rsid w:val="000A59DD"/>
    <w:rsid w:val="000E5673"/>
    <w:rsid w:val="00157BD6"/>
    <w:rsid w:val="001717EB"/>
    <w:rsid w:val="00190EAC"/>
    <w:rsid w:val="00193505"/>
    <w:rsid w:val="001936D2"/>
    <w:rsid w:val="001957BC"/>
    <w:rsid w:val="001A156D"/>
    <w:rsid w:val="001C1905"/>
    <w:rsid w:val="001F6F1D"/>
    <w:rsid w:val="002A5D54"/>
    <w:rsid w:val="002B46B0"/>
    <w:rsid w:val="002B6BDE"/>
    <w:rsid w:val="002B752E"/>
    <w:rsid w:val="002C600D"/>
    <w:rsid w:val="002D0730"/>
    <w:rsid w:val="002D23B0"/>
    <w:rsid w:val="002E0E79"/>
    <w:rsid w:val="002E354F"/>
    <w:rsid w:val="003217C7"/>
    <w:rsid w:val="0034101C"/>
    <w:rsid w:val="00342A5E"/>
    <w:rsid w:val="0036494D"/>
    <w:rsid w:val="00367DA4"/>
    <w:rsid w:val="003759A4"/>
    <w:rsid w:val="003A1FD8"/>
    <w:rsid w:val="003D7DE3"/>
    <w:rsid w:val="00403D02"/>
    <w:rsid w:val="0043156F"/>
    <w:rsid w:val="004B4178"/>
    <w:rsid w:val="004C4D7B"/>
    <w:rsid w:val="004E4963"/>
    <w:rsid w:val="00501F66"/>
    <w:rsid w:val="00514D7D"/>
    <w:rsid w:val="005359D5"/>
    <w:rsid w:val="00541E41"/>
    <w:rsid w:val="00587C57"/>
    <w:rsid w:val="0059302E"/>
    <w:rsid w:val="00597D9C"/>
    <w:rsid w:val="005B443B"/>
    <w:rsid w:val="005B609E"/>
    <w:rsid w:val="005C198A"/>
    <w:rsid w:val="005E3701"/>
    <w:rsid w:val="00641A80"/>
    <w:rsid w:val="00651021"/>
    <w:rsid w:val="0066200C"/>
    <w:rsid w:val="00690166"/>
    <w:rsid w:val="0069483D"/>
    <w:rsid w:val="006B5AC6"/>
    <w:rsid w:val="006E1BD1"/>
    <w:rsid w:val="00706CAB"/>
    <w:rsid w:val="00721C85"/>
    <w:rsid w:val="00727933"/>
    <w:rsid w:val="00736ED3"/>
    <w:rsid w:val="00761F10"/>
    <w:rsid w:val="00774AB8"/>
    <w:rsid w:val="00787073"/>
    <w:rsid w:val="007B0FBF"/>
    <w:rsid w:val="007B5DB7"/>
    <w:rsid w:val="007C1F7B"/>
    <w:rsid w:val="007C7115"/>
    <w:rsid w:val="007E0C5D"/>
    <w:rsid w:val="00801882"/>
    <w:rsid w:val="00803E34"/>
    <w:rsid w:val="00844336"/>
    <w:rsid w:val="0086239A"/>
    <w:rsid w:val="00864620"/>
    <w:rsid w:val="00877617"/>
    <w:rsid w:val="008A485A"/>
    <w:rsid w:val="008A6B62"/>
    <w:rsid w:val="008A71CE"/>
    <w:rsid w:val="008C10BF"/>
    <w:rsid w:val="008F3D54"/>
    <w:rsid w:val="00904BD4"/>
    <w:rsid w:val="00925BF0"/>
    <w:rsid w:val="00943516"/>
    <w:rsid w:val="00970DD2"/>
    <w:rsid w:val="00970E25"/>
    <w:rsid w:val="009863A6"/>
    <w:rsid w:val="009A3C72"/>
    <w:rsid w:val="009D0B54"/>
    <w:rsid w:val="009F0082"/>
    <w:rsid w:val="009F7DFA"/>
    <w:rsid w:val="00A20124"/>
    <w:rsid w:val="00A219A8"/>
    <w:rsid w:val="00A46C24"/>
    <w:rsid w:val="00A605F3"/>
    <w:rsid w:val="00A6290F"/>
    <w:rsid w:val="00A6710B"/>
    <w:rsid w:val="00A700A9"/>
    <w:rsid w:val="00A81F29"/>
    <w:rsid w:val="00AB430A"/>
    <w:rsid w:val="00AD44B7"/>
    <w:rsid w:val="00B0118A"/>
    <w:rsid w:val="00B0168C"/>
    <w:rsid w:val="00B01FE3"/>
    <w:rsid w:val="00B1003A"/>
    <w:rsid w:val="00B212E1"/>
    <w:rsid w:val="00B4365D"/>
    <w:rsid w:val="00B451F9"/>
    <w:rsid w:val="00B61B06"/>
    <w:rsid w:val="00B62C47"/>
    <w:rsid w:val="00B94DB1"/>
    <w:rsid w:val="00B95FDC"/>
    <w:rsid w:val="00BA170B"/>
    <w:rsid w:val="00BA4779"/>
    <w:rsid w:val="00BC03CF"/>
    <w:rsid w:val="00BC648C"/>
    <w:rsid w:val="00BD50DD"/>
    <w:rsid w:val="00BE6EBF"/>
    <w:rsid w:val="00C33459"/>
    <w:rsid w:val="00C37AEF"/>
    <w:rsid w:val="00C834A1"/>
    <w:rsid w:val="00C839A5"/>
    <w:rsid w:val="00CD2C26"/>
    <w:rsid w:val="00CE45AC"/>
    <w:rsid w:val="00CF4ED0"/>
    <w:rsid w:val="00CF65FC"/>
    <w:rsid w:val="00D04261"/>
    <w:rsid w:val="00D11035"/>
    <w:rsid w:val="00D613A9"/>
    <w:rsid w:val="00D61709"/>
    <w:rsid w:val="00D64161"/>
    <w:rsid w:val="00D726B7"/>
    <w:rsid w:val="00D776CE"/>
    <w:rsid w:val="00D80D1F"/>
    <w:rsid w:val="00D91D83"/>
    <w:rsid w:val="00DA1DB8"/>
    <w:rsid w:val="00DE1228"/>
    <w:rsid w:val="00E004BB"/>
    <w:rsid w:val="00E06058"/>
    <w:rsid w:val="00E072D8"/>
    <w:rsid w:val="00E1469D"/>
    <w:rsid w:val="00E257B3"/>
    <w:rsid w:val="00E30251"/>
    <w:rsid w:val="00E309D9"/>
    <w:rsid w:val="00E33D8A"/>
    <w:rsid w:val="00EC1520"/>
    <w:rsid w:val="00EC55F3"/>
    <w:rsid w:val="00ED0F34"/>
    <w:rsid w:val="00EE1363"/>
    <w:rsid w:val="00EE4198"/>
    <w:rsid w:val="00EE7FD3"/>
    <w:rsid w:val="00F06036"/>
    <w:rsid w:val="00F14026"/>
    <w:rsid w:val="00F21DF8"/>
    <w:rsid w:val="00F36020"/>
    <w:rsid w:val="00F37C33"/>
    <w:rsid w:val="00F41508"/>
    <w:rsid w:val="00F50B08"/>
    <w:rsid w:val="00F5444F"/>
    <w:rsid w:val="00F6336F"/>
    <w:rsid w:val="00F81483"/>
    <w:rsid w:val="00FE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51395-9FA7-423D-95DF-7F774328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B0"/>
  </w:style>
  <w:style w:type="paragraph" w:styleId="Footer">
    <w:name w:val="footer"/>
    <w:basedOn w:val="Normal"/>
    <w:link w:val="FooterChar"/>
    <w:uiPriority w:val="99"/>
    <w:unhideWhenUsed/>
    <w:rsid w:val="002B4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B0"/>
  </w:style>
  <w:style w:type="paragraph" w:styleId="BalloonText">
    <w:name w:val="Balloon Text"/>
    <w:basedOn w:val="Normal"/>
    <w:link w:val="BalloonTextChar"/>
    <w:uiPriority w:val="99"/>
    <w:semiHidden/>
    <w:unhideWhenUsed/>
    <w:rsid w:val="002B4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B0"/>
    <w:rPr>
      <w:rFonts w:ascii="Tahoma" w:hAnsi="Tahoma" w:cs="Tahoma"/>
      <w:sz w:val="16"/>
      <w:szCs w:val="16"/>
    </w:rPr>
  </w:style>
  <w:style w:type="paragraph" w:styleId="BodyText">
    <w:name w:val="Body Text"/>
    <w:basedOn w:val="Normal"/>
    <w:link w:val="BodyTextChar"/>
    <w:uiPriority w:val="1"/>
    <w:qFormat/>
    <w:rsid w:val="00F5444F"/>
    <w:pPr>
      <w:widowControl w:val="0"/>
      <w:spacing w:after="0" w:line="240" w:lineRule="auto"/>
      <w:ind w:left="112"/>
    </w:pPr>
    <w:rPr>
      <w:rFonts w:ascii="Arial" w:eastAsia="Arial" w:hAnsi="Arial"/>
      <w:sz w:val="21"/>
      <w:szCs w:val="21"/>
    </w:rPr>
  </w:style>
  <w:style w:type="character" w:customStyle="1" w:styleId="BodyTextChar">
    <w:name w:val="Body Text Char"/>
    <w:basedOn w:val="DefaultParagraphFont"/>
    <w:link w:val="BodyText"/>
    <w:uiPriority w:val="1"/>
    <w:rsid w:val="00F5444F"/>
    <w:rPr>
      <w:rFonts w:ascii="Arial" w:eastAsia="Arial" w:hAnsi="Arial"/>
      <w:sz w:val="21"/>
      <w:szCs w:val="21"/>
    </w:rPr>
  </w:style>
  <w:style w:type="table" w:styleId="TableGrid">
    <w:name w:val="Table Grid"/>
    <w:basedOn w:val="TableNormal"/>
    <w:uiPriority w:val="59"/>
    <w:rsid w:val="00A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7786">
      <w:bodyDiv w:val="1"/>
      <w:marLeft w:val="0"/>
      <w:marRight w:val="0"/>
      <w:marTop w:val="0"/>
      <w:marBottom w:val="0"/>
      <w:divBdr>
        <w:top w:val="none" w:sz="0" w:space="0" w:color="auto"/>
        <w:left w:val="none" w:sz="0" w:space="0" w:color="auto"/>
        <w:bottom w:val="none" w:sz="0" w:space="0" w:color="auto"/>
        <w:right w:val="none" w:sz="0" w:space="0" w:color="auto"/>
      </w:divBdr>
    </w:div>
    <w:div w:id="482352637">
      <w:bodyDiv w:val="1"/>
      <w:marLeft w:val="0"/>
      <w:marRight w:val="0"/>
      <w:marTop w:val="0"/>
      <w:marBottom w:val="0"/>
      <w:divBdr>
        <w:top w:val="none" w:sz="0" w:space="0" w:color="auto"/>
        <w:left w:val="none" w:sz="0" w:space="0" w:color="auto"/>
        <w:bottom w:val="none" w:sz="0" w:space="0" w:color="auto"/>
        <w:right w:val="none" w:sz="0" w:space="0" w:color="auto"/>
      </w:divBdr>
    </w:div>
    <w:div w:id="1276522726">
      <w:bodyDiv w:val="1"/>
      <w:marLeft w:val="0"/>
      <w:marRight w:val="0"/>
      <w:marTop w:val="0"/>
      <w:marBottom w:val="0"/>
      <w:divBdr>
        <w:top w:val="none" w:sz="0" w:space="0" w:color="auto"/>
        <w:left w:val="none" w:sz="0" w:space="0" w:color="auto"/>
        <w:bottom w:val="none" w:sz="0" w:space="0" w:color="auto"/>
        <w:right w:val="none" w:sz="0" w:space="0" w:color="auto"/>
      </w:divBdr>
    </w:div>
    <w:div w:id="1434403011">
      <w:bodyDiv w:val="1"/>
      <w:marLeft w:val="0"/>
      <w:marRight w:val="0"/>
      <w:marTop w:val="0"/>
      <w:marBottom w:val="0"/>
      <w:divBdr>
        <w:top w:val="none" w:sz="0" w:space="0" w:color="auto"/>
        <w:left w:val="none" w:sz="0" w:space="0" w:color="auto"/>
        <w:bottom w:val="none" w:sz="0" w:space="0" w:color="auto"/>
        <w:right w:val="none" w:sz="0" w:space="0" w:color="auto"/>
      </w:divBdr>
    </w:div>
    <w:div w:id="19577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WEMS_LLC</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David B</dc:creator>
  <cp:lastModifiedBy>Barbara Dixon</cp:lastModifiedBy>
  <cp:revision>2</cp:revision>
  <cp:lastPrinted>2020-02-26T16:53:00Z</cp:lastPrinted>
  <dcterms:created xsi:type="dcterms:W3CDTF">2020-09-15T11:04:00Z</dcterms:created>
  <dcterms:modified xsi:type="dcterms:W3CDTF">2020-09-15T11:04:00Z</dcterms:modified>
</cp:coreProperties>
</file>